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150" w:after="30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a1f6c"/>
          <w:sz w:val="36"/>
        </w:rPr>
        <w:t xml:space="preserve">Конкурс на право заключения договора о целевом обучении между Федеральным агентством по управлению государственным имуществом и гражданином Российской Федерации с обязательством последующего прохождения государственной гражданской службы в Росимуществе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8e8e8e"/>
          <w:sz w:val="23"/>
          <w:highlight w:val="white"/>
        </w:rPr>
        <w:t xml:space="preserve">25.04.2023</w:t>
      </w:r>
      <w:r/>
    </w:p>
    <w:p>
      <w:pPr>
        <w:ind w:left="0" w:right="0" w:firstLine="0"/>
        <w:jc w:val="center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82828"/>
          <w:sz w:val="23"/>
        </w:rPr>
        <w:t xml:space="preserve">ОБЪЯВЛЕНИЕ</w:t>
      </w:r>
      <w:r/>
    </w:p>
    <w:p>
      <w:pPr>
        <w:ind w:left="0" w:right="0" w:firstLine="0"/>
        <w:jc w:val="center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82828"/>
          <w:sz w:val="23"/>
        </w:rPr>
        <w:t xml:space="preserve">о приеме документов (26.04.2023 - 16.05.2023) для участия в конкурсе на право заключения договора о целевом обучении между Федеральным агентством по управлению государственным имуществом и гражданином Российской Федерации с обязательством последующего прох</w:t>
      </w:r>
      <w:r>
        <w:rPr>
          <w:rFonts w:ascii="Arial" w:hAnsi="Arial" w:eastAsia="Arial" w:cs="Arial"/>
          <w:b/>
          <w:color w:val="282828"/>
          <w:sz w:val="23"/>
        </w:rPr>
        <w:t xml:space="preserve">ождения федеральной государственной гражданской службы в Росимуществе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1. Федеральное агентство по управлению государственным имуществом проводит конкурс на право заключения договора о целевом обучении между Росимуществом и гражданином Российской Федерации с обязательством последующего прохождения федеральной государственной </w:t>
      </w:r>
      <w:r>
        <w:rPr>
          <w:rFonts w:ascii="Arial" w:hAnsi="Arial" w:eastAsia="Arial" w:cs="Arial"/>
          <w:color w:val="282828"/>
        </w:rPr>
        <w:t xml:space="preserve">гражданской службы в Росимуществе после окончания обучения, если обучение по соответствующим программам высшего образования не является для него получением второго или последующего высшего образования (далее – конкурс).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2. Гражданин Российской Федерации, признанный победителем конкурса и заключивший договор о целевом обучении с Росимуществом с обязательством последующего прохождения федеральной государственной гражданской службы, направляется для участия в конкурсе на цел</w:t>
      </w:r>
      <w:r>
        <w:rPr>
          <w:rFonts w:ascii="Arial" w:hAnsi="Arial" w:eastAsia="Arial" w:cs="Arial"/>
          <w:color w:val="282828"/>
        </w:rPr>
        <w:t xml:space="preserve">евые места, проводимом: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– Московским государственным юридическим университетом им. О.Е. Кутафина в пределах квоты целевого приема, установленной на 2023/2024 учебный год, для получения высшего образования по очной форме обучения (программе бакалавриата) по направлению подготовки </w:t>
      </w:r>
      <w:r>
        <w:rPr>
          <w:rFonts w:ascii="Arial" w:hAnsi="Arial" w:eastAsia="Arial" w:cs="Arial"/>
          <w:color w:val="282828"/>
        </w:rPr>
        <w:t xml:space="preserve">«Юриспруденция» за счет средств федерального бюджета;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– Российской академией народного хозяйства и государственной службы при Президенте Российской Федерации в пределах квоты целевого приема, установленной на 2023/2024 учебный год, для получения высшего образования по очной форме обучения (программе бакалаври</w:t>
      </w:r>
      <w:r>
        <w:rPr>
          <w:rFonts w:ascii="Arial" w:hAnsi="Arial" w:eastAsia="Arial" w:cs="Arial"/>
          <w:color w:val="282828"/>
        </w:rPr>
        <w:t xml:space="preserve">ата) по направлению подготовки «Экономика» за счет средств федерального бюджета;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– Российской академией народного хозяйства и государственной службы при Президенте Российской Федерации в пределах квоты целевого приема, установленной на 2023/2024 учебный год, для получения высшего образования по заочной форме обучения (программе магистр</w:t>
      </w:r>
      <w:r>
        <w:rPr>
          <w:rFonts w:ascii="Arial" w:hAnsi="Arial" w:eastAsia="Arial" w:cs="Arial"/>
          <w:color w:val="282828"/>
        </w:rPr>
        <w:t xml:space="preserve">атуры) по направлению подготовки «Государственный аудит» за счет средств федерального бюджета;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– Российской академией народного хозяйства и государственной службы при Президенте Российской Федерации в пределах квоты целевого приема, установленной на 2023/2024 учебный год, для получения высшего образования по очной форме обучения (программе бакалаври</w:t>
      </w:r>
      <w:r>
        <w:rPr>
          <w:rFonts w:ascii="Arial" w:hAnsi="Arial" w:eastAsia="Arial" w:cs="Arial"/>
          <w:color w:val="282828"/>
        </w:rPr>
        <w:t xml:space="preserve">ата) по направлению подготовки «Государственное и муниципальное управление» за счет средств федерального бюджета;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– Российской академией народного хозяйства и государственной службы при Президенте Российской Федерации в пределах квоты целевого приема, установленной на 2023/2024 учебный год, для получения высшего образования по заочной форме обучения (программе магистр</w:t>
      </w:r>
      <w:r>
        <w:rPr>
          <w:rFonts w:ascii="Arial" w:hAnsi="Arial" w:eastAsia="Arial" w:cs="Arial"/>
          <w:color w:val="282828"/>
        </w:rPr>
        <w:t xml:space="preserve">атуры) по направлению подготовки «Государственное и муниципальное управление» за счет средств федерального бюджета;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– Федеральным государственным бюджетным образовательным учреждением высшего образования «Московский государственный университет имени М.В. Ломоносова» в пределах квоты целевого приема, установленной на 2023/2024 учебный год, для получения высшего образован</w:t>
      </w:r>
      <w:r>
        <w:rPr>
          <w:rFonts w:ascii="Arial" w:hAnsi="Arial" w:eastAsia="Arial" w:cs="Arial"/>
          <w:color w:val="282828"/>
        </w:rPr>
        <w:t xml:space="preserve">ия по очной форме обучения (программе бакалавриата) по направлению подготовки «Медиакоммуникации» за счет средств федерального бюджета.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3. Гражданин Российской Федерации (гражданский служащий), заключивший договор о целевом обучении, после успешного освоения им образовательной программы высшего образования обязуется проходить федеральную государственную гражданскую службу в Росимуществе (в</w:t>
      </w:r>
      <w:r>
        <w:rPr>
          <w:rFonts w:ascii="Arial" w:hAnsi="Arial" w:eastAsia="Arial" w:cs="Arial"/>
          <w:color w:val="282828"/>
        </w:rPr>
        <w:t xml:space="preserve"> течение не менее трех лет и не менее срока, в течение которого Росимущество осуществляло ему денежную выплату), в том числе замещать не менее одного года должность гражданской службы, на которую гражданин (гражданский служащий) будет назначен после заверш</w:t>
      </w:r>
      <w:r>
        <w:rPr>
          <w:rFonts w:ascii="Arial" w:hAnsi="Arial" w:eastAsia="Arial" w:cs="Arial"/>
          <w:color w:val="282828"/>
        </w:rPr>
        <w:t xml:space="preserve">ения обучения по срочному служебному контракту, заключенному в порядке, установленном Федеральным законом от 27 июля 2004 г. № 79-ФЗ «О государственной гражданской службе Российской Федерации» (далее –Федеральный закон). После окончания обучения гражданин </w:t>
      </w:r>
      <w:r>
        <w:rPr>
          <w:rFonts w:ascii="Arial" w:hAnsi="Arial" w:eastAsia="Arial" w:cs="Arial"/>
          <w:color w:val="282828"/>
        </w:rPr>
        <w:t xml:space="preserve">(гражданский служащий) будет назначен на должность федеральной государственной гражданской службы Российской Федерации старшей группы должностей категории «специалисты», к которой предъявляются следующие квалификационные требования: наличие высшего образов</w:t>
      </w:r>
      <w:r>
        <w:rPr>
          <w:rFonts w:ascii="Arial" w:hAnsi="Arial" w:eastAsia="Arial" w:cs="Arial"/>
          <w:color w:val="282828"/>
        </w:rPr>
        <w:t xml:space="preserve">ания, без предъявлений требований к стажу гражданской службы или работы по специальности, наличие базовых знаний и умений, необходимых для исполнения должностных обязанностей с учетом области и вида профессиональной служебной деятельности гражданского служ</w:t>
      </w:r>
      <w:r>
        <w:rPr>
          <w:rFonts w:ascii="Arial" w:hAnsi="Arial" w:eastAsia="Arial" w:cs="Arial"/>
          <w:color w:val="282828"/>
        </w:rPr>
        <w:t xml:space="preserve">ащего, содержащихся в Справочнике квалификационных требований к специальностям, направлениям подготовки, знаниям и умениям, которые необходимы для замещения должностей федеральной государственной гражданской службы с учетом области и вида профессиональной </w:t>
      </w:r>
      <w:r>
        <w:rPr>
          <w:rFonts w:ascii="Arial" w:hAnsi="Arial" w:eastAsia="Arial" w:cs="Arial"/>
          <w:color w:val="282828"/>
        </w:rPr>
        <w:t xml:space="preserve">служебной деятельности государственных гражданских служащих, утвержденным Минтрудом России (далее - Справочник).</w:t>
      </w:r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4. Условия прохождения федеральной государственной гражданской службы в Росимуществе: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расположение рабочего места: г. Москва, ЦАО;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нормированность рабочего дня: ненормированный;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служебное время: 5-дневная служебная неделя, понедельник – четверг с 09:</w:t>
      </w:r>
      <w:r>
        <w:rPr>
          <w:rFonts w:ascii="Arial" w:hAnsi="Arial" w:eastAsia="Arial" w:cs="Arial"/>
          <w:color w:val="282828"/>
        </w:rPr>
        <w:t xml:space="preserve">00 до 18:00, пятница с 09:00 до 16:45;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тип служебного контракта: срочный.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Гражданскому служащему предоставляются гарантии, предусмотренные статьями 52, 53 Федерального закона. Также гражданский служащий и члены его семьи (супруги, родители, несовершеннол</w:t>
      </w:r>
      <w:r>
        <w:rPr>
          <w:rFonts w:ascii="Arial" w:hAnsi="Arial" w:eastAsia="Arial" w:cs="Arial"/>
          <w:color w:val="282828"/>
        </w:rPr>
        <w:t xml:space="preserve">етние дети) имеют право на бесплатное санаторно-курортное лечение в РВЦ «Орбита–2» (Московская обл., Солнечногорский р-н, д. Толстяково), санаторий им. Орджоникидзе (г. Кисловодск), а также в санаторий «Автомобилист» (Краснодарский край, г. Сочи) один раз </w:t>
      </w:r>
      <w:r>
        <w:rPr>
          <w:rFonts w:ascii="Arial" w:hAnsi="Arial" w:eastAsia="Arial" w:cs="Arial"/>
          <w:color w:val="282828"/>
        </w:rPr>
        <w:t xml:space="preserve">в год.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5. Основная деятельность Федерального агентства по управлению государственным имуществом относится к пункту 26 Справочника «Регулирование имущественных отношений», который включает в себя несколько видов профессиональной служебной деятельности: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ос</w:t>
      </w:r>
      <w:r>
        <w:rPr>
          <w:rFonts w:ascii="Arial" w:hAnsi="Arial" w:eastAsia="Arial" w:cs="Arial"/>
          <w:color w:val="282828"/>
        </w:rPr>
        <w:t xml:space="preserve">уществление корпоративного управления в компаниях с государственным участием;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управление, распоряжение и контроль за имуществом, находящимся в собственности Российской Федерации; </w:t>
      </w:r>
      <w:r>
        <w:rPr>
          <w:rFonts w:ascii="Arial" w:hAnsi="Arial" w:eastAsia="Arial" w:cs="Arial"/>
          <w:color w:val="282828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приватизация государственного имущества; </w:t>
      </w:r>
      <w:r>
        <w:rPr>
          <w:rFonts w:ascii="Arial" w:hAnsi="Arial" w:eastAsia="Arial" w:cs="Arial"/>
        </w:rPr>
      </w:r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обеспечение размещения (предос</w:t>
      </w:r>
      <w:r>
        <w:rPr>
          <w:rFonts w:ascii="Arial" w:hAnsi="Arial" w:eastAsia="Arial" w:cs="Arial"/>
          <w:color w:val="282828"/>
        </w:rPr>
        <w:t xml:space="preserve">тавление помещений) федеральных органов власти и подведомственных им организаций;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организация реализации (утилизации) арестованного и конфискованного имущества;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• организация сделок с государственным имуществом.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6. Основные должностные обязанности и права регулируются статьями 14 и 15 Федерального закона, а также устанавливаются исходя из задач и функций, определенных Положением о Федеральном агентстве по управлению государственным, утвержденным постановлением Пра</w:t>
      </w:r>
      <w:r>
        <w:rPr>
          <w:rFonts w:ascii="Arial" w:hAnsi="Arial" w:eastAsia="Arial" w:cs="Arial"/>
          <w:color w:val="282828"/>
        </w:rPr>
        <w:t xml:space="preserve">вительства Российской Федерации от 05.06.2008 № 432, Положением об Управлении.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7. Условия прохождения федеральной гражданской службы включают ограничения и запреты, предусмотренные статьями 16 и 17 Федерального закона, требования о предотвращении или об урегулировании конфликта интересов и обязанности, установленные Федеральным закон</w:t>
      </w:r>
      <w:r>
        <w:rPr>
          <w:rFonts w:ascii="Arial" w:hAnsi="Arial" w:eastAsia="Arial" w:cs="Arial"/>
          <w:color w:val="282828"/>
        </w:rPr>
        <w:t xml:space="preserve">ом от 25 декабря 2008 г. № 273-ФЗ «О противодействии коррупции» и другими федеральными законами.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8. Для участия в конкурсе гражданин Российской Федерации представляет </w:t>
      </w:r>
      <w:r>
        <w:rPr>
          <w:rFonts w:ascii="Arial" w:hAnsi="Arial" w:eastAsia="Arial" w:cs="Arial"/>
          <w:b/>
          <w:color w:val="282828"/>
          <w:sz w:val="23"/>
        </w:rPr>
        <w:t xml:space="preserve">следующие документы: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а) заявление в письменной форме, в котором он подтверждает, что ознакомлен с информацией об ограничениях и запретах, предусмотренных статьями 16 и 17 Федерального закона, о требованиях о предотвращении или об урегулировании конфликта интересов и об обязанн</w:t>
      </w:r>
      <w:r>
        <w:rPr>
          <w:rFonts w:ascii="Arial" w:hAnsi="Arial" w:eastAsia="Arial" w:cs="Arial"/>
          <w:color w:val="282828"/>
        </w:rPr>
        <w:t xml:space="preserve">остях, установленных Федеральным законом от 25 декабря 2008 г. № 273-ФЗ «О противодействии коррупции» и другими федеральными законами;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б) анкету, заполненную гражданином по форме, утвержденной распоряжением Правительства Российской Федерации от 26 мая 2005 г. № 667-р «Об утверждении формы анкеты, представляемой гражданином Российской Федерации, поступающим на федеральную государственную г</w:t>
      </w:r>
      <w:r>
        <w:rPr>
          <w:rFonts w:ascii="Arial" w:hAnsi="Arial" w:eastAsia="Arial" w:cs="Arial"/>
          <w:color w:val="282828"/>
        </w:rPr>
        <w:t xml:space="preserve">ражданскую службу Российской Федерации или на муниципальную службу в Российской Федерации», с приложением фотографии и подписанную им;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в) копию паспорта (паспорт предъявляется лично по прибытии на конкурс);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г)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</w:t>
      </w:r>
      <w:r>
        <w:rPr>
          <w:rFonts w:ascii="Arial" w:hAnsi="Arial" w:eastAsia="Arial" w:cs="Arial"/>
          <w:color w:val="282828"/>
        </w:rPr>
        <w:t xml:space="preserve">да трудовая (служебная) деятельность ранее не осуществлялась);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д)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 № 001-ГС/у, предусмотренной пунктом 4 части 1 статьи 16 Федерального закона.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9. Гражданский служащий, изъявивший желание участвовать в конкурсе, подает заявление на имя представителя нанимателя Росимущества, проводящего конкурс, и представляет на рассмотрение конкурсной комиссии отзыв непосредственного руководителя об исполнении гр</w:t>
      </w:r>
      <w:r>
        <w:rPr>
          <w:rFonts w:ascii="Arial" w:hAnsi="Arial" w:eastAsia="Arial" w:cs="Arial"/>
          <w:color w:val="282828"/>
        </w:rPr>
        <w:t xml:space="preserve">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10. Гражданин (гражданский служащий), обучающийся по имеющей государственную аккредитацию образовательной программе высшего образования (программе бакалавриата, программе специалитета, программе магистратуры), дополнительно представляет в Росимущество спра</w:t>
      </w:r>
      <w:r>
        <w:rPr>
          <w:rFonts w:ascii="Arial" w:hAnsi="Arial" w:eastAsia="Arial" w:cs="Arial"/>
          <w:color w:val="282828"/>
        </w:rPr>
        <w:t xml:space="preserve">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деятельность, в которой обучается гражданин (гражданский служащий).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11. 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бакалавриата, программе специалитета), дополнительно представляет в конкурсную комиссию аттестат </w:t>
      </w:r>
      <w:r>
        <w:rPr>
          <w:rFonts w:ascii="Arial" w:hAnsi="Arial" w:eastAsia="Arial" w:cs="Arial"/>
          <w:color w:val="282828"/>
        </w:rPr>
        <w:t xml:space="preserve">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</w:t>
      </w:r>
      <w:r>
        <w:rPr>
          <w:rFonts w:ascii="Arial" w:hAnsi="Arial" w:eastAsia="Arial" w:cs="Arial"/>
          <w:color w:val="282828"/>
        </w:rPr>
        <w:t xml:space="preserve">ссионального образования не завершено.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12. Гражданин, не достигший возраста 18 лет, поступающий на обучение по имеющей государственную аккредитацию образовательной программе высшего образования (программе бакалавриата), дополнительно представляет в конкурсную комиссию оформленное в письменной ф</w:t>
      </w:r>
      <w:r>
        <w:rPr>
          <w:rFonts w:ascii="Arial" w:hAnsi="Arial" w:eastAsia="Arial" w:cs="Arial"/>
          <w:color w:val="282828"/>
        </w:rPr>
        <w:t xml:space="preserve">орме согласие своих родителей (законных представителей) на участие в конкурсном отборе, за исключением граждан, не достигших возраста 18 лет, но в соответствии с пунктом 2 статьи 21 и статьей 27 Гражданского кодекса Российской Федерации признанных полность</w:t>
      </w:r>
      <w:r>
        <w:rPr>
          <w:rFonts w:ascii="Arial" w:hAnsi="Arial" w:eastAsia="Arial" w:cs="Arial"/>
          <w:color w:val="282828"/>
        </w:rPr>
        <w:t xml:space="preserve">ю дееспособными.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13. 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магистратуры), дополнительно представляет в государственный орган диплом бакалавра и приложение к</w:t>
      </w:r>
      <w:r>
        <w:rPr>
          <w:rFonts w:ascii="Arial" w:hAnsi="Arial" w:eastAsia="Arial" w:cs="Arial"/>
          <w:color w:val="282828"/>
        </w:rPr>
        <w:t xml:space="preserve"> нему или диплом специалиста, подтверждающий присвоение квалификации «дипломированный специалист», и приложение к нему.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14. Гражданин, прошедший практику или стажировку в Росимуществе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практика или стажировка), дополнительно </w:t>
      </w:r>
      <w:r>
        <w:rPr>
          <w:rFonts w:ascii="Arial" w:hAnsi="Arial" w:eastAsia="Arial" w:cs="Arial"/>
          <w:color w:val="282828"/>
        </w:rPr>
        <w:t xml:space="preserve">представляет отзыв руководителя практики или стажировки.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15. Документы, указанные в пунктах 8 – 14 Объявления о приеме документов для участия в конкурсе на право заключения договора о целевом обучении между Федеральным агентством по управлению государственным имуществом и гражданином Российской Федерации с обяза</w:t>
      </w:r>
      <w:r>
        <w:rPr>
          <w:rFonts w:ascii="Arial" w:hAnsi="Arial" w:eastAsia="Arial" w:cs="Arial"/>
          <w:color w:val="282828"/>
        </w:rPr>
        <w:t xml:space="preserve">тельством последующего прохождения государственной гражданской службы в Росимуществе (далее – Объявление), представляются в конкурсную комиссию гражданином (гражданским служащим) лично, посредством направления по почте или в электронной форме с использован</w:t>
      </w:r>
      <w:r>
        <w:rPr>
          <w:rFonts w:ascii="Arial" w:hAnsi="Arial" w:eastAsia="Arial" w:cs="Arial"/>
          <w:color w:val="282828"/>
        </w:rPr>
        <w:t xml:space="preserve">ием информационной системы в области государственной службы в течение 21 календарного дня со дня размещения информации о проведении конкурса в информационно-телекоммуникационной сети «Интернет» на официальном сайте информационной системы в области государс</w:t>
      </w:r>
      <w:r>
        <w:rPr>
          <w:rFonts w:ascii="Arial" w:hAnsi="Arial" w:eastAsia="Arial" w:cs="Arial"/>
          <w:color w:val="282828"/>
        </w:rPr>
        <w:t xml:space="preserve">твенной службы.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16. В случае несвоевременного представления документов, представления их не в полном объеме или с нарушением правил оформления по уважительной причине конкурсная комиссия Росимущества вправе перенести срок приема документов.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17.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(гражданскими служащими) за счет собственных средств.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18. Конкурсная комиссия оценивает кандидатов на основании сведений об успеваемости и иных сведений, содержащихся в документах, представленных в соответствии с пунктами 8 - 14 Объявления, а также на основании результатов конкурсных процедур. Конкурсные проц</w:t>
      </w:r>
      <w:r>
        <w:rPr>
          <w:rFonts w:ascii="Arial" w:hAnsi="Arial" w:eastAsia="Arial" w:cs="Arial"/>
          <w:color w:val="282828"/>
        </w:rPr>
        <w:t xml:space="preserve">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кандидатов, включая индивидуальное собеседование, анкетирование, тестирование,</w:t>
      </w:r>
      <w:r>
        <w:rPr>
          <w:rFonts w:ascii="Arial" w:hAnsi="Arial" w:eastAsia="Arial" w:cs="Arial"/>
          <w:color w:val="282828"/>
        </w:rPr>
        <w:t xml:space="preserve"> написание реферата.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19. Конкурс предусматривает оценку способностей и личностных качеств кандидата посредством: выполнения теста для оценки уровня владения государственным языком Российской Федерации (русским языком), знаниями основ Конституции Российской Федерации, знаниями </w:t>
      </w:r>
      <w:r>
        <w:rPr>
          <w:rFonts w:ascii="Arial" w:hAnsi="Arial" w:eastAsia="Arial" w:cs="Arial"/>
          <w:color w:val="282828"/>
        </w:rPr>
        <w:t xml:space="preserve">и умениями в сфере информационных технологий; иных конкурсных заданий, выполняемых до индивидуального собеседования с конкурсной комиссией; прохождения индивидуального собеседования с конкурсной комиссией в ходе ее заседания, на котором также рассматривают</w:t>
      </w:r>
      <w:r>
        <w:rPr>
          <w:rFonts w:ascii="Arial" w:hAnsi="Arial" w:eastAsia="Arial" w:cs="Arial"/>
          <w:color w:val="282828"/>
        </w:rPr>
        <w:t xml:space="preserve">ся сведения о кандидате и результаты выполнения им конкурсных заданий.</w:t>
      </w:r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20. Для оценки кандидата используются следующие критерии оценки результатов выполнения им конкурсных заданий: </w:t>
      </w:r>
      <w:r>
        <w:rPr>
          <w:rFonts w:ascii="Arial" w:hAnsi="Arial" w:eastAsia="Arial" w:cs="Arial"/>
          <w:color w:val="282828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а) прохождение индивидуального собеседования с конкурсной комиссией; </w:t>
      </w:r>
      <w:r>
        <w:rPr>
          <w:rFonts w:ascii="Arial" w:hAnsi="Arial" w:eastAsia="Arial" w:cs="Arial"/>
          <w:color w:val="282828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б) выполнение анкетирования; </w:t>
      </w:r>
      <w:r>
        <w:rPr>
          <w:rFonts w:ascii="Arial" w:hAnsi="Arial" w:eastAsia="Arial" w:cs="Arial"/>
          <w:color w:val="282828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в) выполнение теста; </w:t>
      </w:r>
      <w:r/>
      <w:r/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г) подготовка реферата.</w:t>
      </w:r>
      <w:r/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21. Для оценки кандидата используются следующие критерии оценки сведений о нем: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а) сведения об успеваемости; </w:t>
      </w:r>
      <w:r>
        <w:rPr>
          <w:rFonts w:ascii="Arial" w:hAnsi="Arial" w:eastAsia="Arial" w:cs="Arial"/>
          <w:color w:val="282828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б) сведения о прохождении практики или стажировки, подтвержденные отзывом руководителя практики или стажировки; </w:t>
      </w:r>
      <w:r>
        <w:rPr>
          <w:rFonts w:ascii="Arial" w:hAnsi="Arial" w:eastAsia="Arial" w:cs="Arial"/>
          <w:color w:val="282828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в) сведения о нахождении кандидата </w:t>
      </w:r>
      <w:r>
        <w:rPr>
          <w:rFonts w:ascii="Arial" w:hAnsi="Arial" w:eastAsia="Arial" w:cs="Arial"/>
          <w:color w:val="282828"/>
        </w:rPr>
        <w:t xml:space="preserve">в кадровом резерве государственного органа; </w:t>
      </w:r>
      <w:r>
        <w:rPr>
          <w:rFonts w:ascii="Arial" w:hAnsi="Arial" w:eastAsia="Arial" w:cs="Arial"/>
          <w:color w:val="282828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г) отзыв непосредственного руководителя гражданского служащего, предусмотренный пунктом 14 Положения о порядке заключения договора о целевом обучении между федеральным государственным органом и гражданином Россий</w:t>
      </w:r>
      <w:r>
        <w:rPr>
          <w:rFonts w:ascii="Arial" w:hAnsi="Arial" w:eastAsia="Arial" w:cs="Arial"/>
          <w:color w:val="282828"/>
        </w:rPr>
        <w:t xml:space="preserve">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г. № 301 «О подготовке кадров для федеральной государственной гражданской службы по</w:t>
      </w:r>
      <w:r>
        <w:rPr>
          <w:rFonts w:ascii="Arial" w:hAnsi="Arial" w:eastAsia="Arial" w:cs="Arial"/>
          <w:color w:val="282828"/>
        </w:rPr>
        <w:t xml:space="preserve"> договорам о целевом </w:t>
      </w:r>
      <w:r>
        <w:rPr>
          <w:rFonts w:ascii="Arial" w:hAnsi="Arial" w:eastAsia="Arial" w:cs="Arial"/>
          <w:color w:val="282828"/>
        </w:rPr>
        <w:t xml:space="preserve">обучении</w:t>
      </w:r>
      <w:r>
        <w:rPr>
          <w:rFonts w:ascii="Arial" w:hAnsi="Arial" w:eastAsia="Arial" w:cs="Arial"/>
          <w:color w:val="282828"/>
        </w:rPr>
        <w:t xml:space="preserve">». </w:t>
      </w:r>
      <w:r/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По результатам оценки способностей и личных качеств кандидата итоговый балл по каждому кандидату, определяется как сумма: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среднего арифметического баллов, выставленных кандидату членами конкурсной комиссии по результатам про</w:t>
      </w:r>
      <w:r>
        <w:rPr>
          <w:rFonts w:ascii="Arial" w:hAnsi="Arial" w:eastAsia="Arial" w:cs="Arial"/>
          <w:color w:val="282828"/>
        </w:rPr>
        <w:t xml:space="preserve">хождения индивидуального собеседования с конкурсной комиссией, выполнения других конкурсных заданий, оцениваемых каждым членом конкурсной комиссии;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баллов, набранных кандидатом по итогам выполнения теста и иных конкурсных заданий, предусматривающих формали</w:t>
      </w:r>
      <w:r>
        <w:rPr>
          <w:rFonts w:ascii="Arial" w:hAnsi="Arial" w:eastAsia="Arial" w:cs="Arial"/>
          <w:color w:val="282828"/>
        </w:rPr>
        <w:t xml:space="preserve">зованный подсчет результатов, баллов, набранных по результатам рассмотрения сведений об успеваемости, сведений о прохождении практики или стажировки, подтвержденных отзывом руководителя практики или стажировки кандидата, сведений о нахождении кандидата в к</w:t>
      </w:r>
      <w:r>
        <w:rPr>
          <w:rFonts w:ascii="Arial" w:hAnsi="Arial" w:eastAsia="Arial" w:cs="Arial"/>
          <w:color w:val="282828"/>
        </w:rPr>
        <w:t xml:space="preserve">адровом резерве государственного органа, отзыва непосредственного руководителя гражданского служащего.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22. В конкурсную комиссию с пакетом документов могут быть предоставлены копии документов, подтверждающие участие в конкурсах, олимпиадах, конференциях и других мероприятиях школьного, районного, городского, областного, федеральных уровней (с последующим пр</w:t>
      </w:r>
      <w:r>
        <w:rPr>
          <w:rFonts w:ascii="Arial" w:hAnsi="Arial" w:eastAsia="Arial" w:cs="Arial"/>
          <w:color w:val="282828"/>
        </w:rPr>
        <w:t xml:space="preserve">едъявлением подлинника при необходимости), выданные в течение последних 2-х лет.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23. В срок не позднее 19 мая 2023 г. в конкурсную комиссию гражданин (гражданский служащий) направляет индивидуальную работу (реферат) подготовленную на тему (на выбор):</w:t>
      </w:r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- по направлению подготовки «Юриспруденция» (бакалавриат):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«История управления государственным имуществом в России»,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«Правовые основы управления государственным имуществом в России»,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«Понятие приватизации государственного и муниципального имущества»; •</w:t>
      </w:r>
      <w:r/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- по направлению подготовки «Экономика» (бакалавриат):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«Понятие и особенности унитарных предприятий»,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«Управление унитарным предприятием»,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«Центральные органы федеральных органов исполнительной власти»; •</w:t>
      </w:r>
      <w:r/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- по направлению подготовки «Медиакоммуникации» (бакалавриат):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«Аспекты медиакоммуникации между органами государственной власти и средствами массовой информации»,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«Медиакоммуникации как инструмент формирования положительного имиджа государственного органа»,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</w:r>
      <w:r>
        <w:rPr>
          <w:rFonts w:ascii="Arial" w:hAnsi="Arial" w:eastAsia="Arial" w:cs="Arial"/>
          <w:color w:val="282828"/>
        </w:rPr>
        <w:t xml:space="preserve">«Теория и практика медиакоммуникаций»; •</w:t>
      </w:r>
      <w:r/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- по направлению подготовки «Государственное и муниципальное управление» (магистратура, заочное):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«Предложения о внесении изменений в нормативно-правовые акты Российской Федерации, касающиеся распоряжения обращенным в собственность государства и иным изъятым</w:t>
      </w:r>
      <w:r>
        <w:rPr>
          <w:rFonts w:ascii="Arial" w:hAnsi="Arial" w:eastAsia="Arial" w:cs="Arial"/>
          <w:color w:val="282828"/>
        </w:rPr>
        <w:t xml:space="preserve"> имуществом»,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«Перераспределение функциональных обязанностей государственных органов Российской Федерации в части касающейся распоряжения обращенным в собственность государства и иным изъятым имуществом»,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«Аутсорсинг государственных функций в сфере распоря</w:t>
      </w:r>
      <w:r>
        <w:rPr>
          <w:rFonts w:ascii="Arial" w:hAnsi="Arial" w:eastAsia="Arial" w:cs="Arial"/>
          <w:color w:val="282828"/>
        </w:rPr>
        <w:t xml:space="preserve">жения обращенным в собственность государства и иным изъятым имуществом»;</w:t>
      </w:r>
      <w:r/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- по направлению подготовки «Государственный аудит» (магистратура, заочное):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«Повышение эффективности взаимодействия государственных органов в сфере распоряжения обращенным в собственность государства и иным изъятым имуществом»,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«Усиление государственного ко</w:t>
      </w:r>
      <w:r>
        <w:rPr>
          <w:rFonts w:ascii="Arial" w:hAnsi="Arial" w:eastAsia="Arial" w:cs="Arial"/>
          <w:color w:val="282828"/>
        </w:rPr>
        <w:t xml:space="preserve">нтроля за распоряжением обращенным в собственность государства и иным изъятым имуществом посредством системы межведомственного электронного взаимодействия»,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«Государственный аудит в сфере распоряжения обращенным в собственность государства и иным изъятым и</w:t>
      </w:r>
      <w:r>
        <w:rPr>
          <w:rFonts w:ascii="Arial" w:hAnsi="Arial" w:eastAsia="Arial" w:cs="Arial"/>
          <w:color w:val="282828"/>
        </w:rPr>
        <w:t xml:space="preserve">муществом»;</w:t>
      </w:r>
      <w:r/>
      <w:r/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- по направлению подготовки «Государственное и муниципальное управление» (бакалавриат):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«Золотые акции Российской Федерации, как способ участия государства в управлении приватизированными стратегически важными предприятиями»,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0" w:afterAutospacing="0"/>
        <w:rPr>
          <w:rFonts w:ascii="Arial" w:hAnsi="Arial" w:eastAsia="Arial" w:cs="Arial"/>
          <w:color w:val="2828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«Механизмы управления государств</w:t>
      </w:r>
      <w:r>
        <w:rPr>
          <w:rFonts w:ascii="Arial" w:hAnsi="Arial" w:eastAsia="Arial" w:cs="Arial"/>
          <w:color w:val="282828"/>
        </w:rPr>
        <w:t xml:space="preserve">енными акционерными обществами», </w:t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after="15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«Виды коммерческих организаций».</w:t>
      </w:r>
      <w:r/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Реферат должен соответствовать следующим требованиям: объем реферата – </w:t>
        <w:br/>
        <w:t xml:space="preserve">от 7 до 10 страниц (за исключением титульного листа и списка использованной литературы); шрифт – Times New Roman, размер 14, через одинарный интервал. Реферат должен содержать ссылки на</w:t>
      </w:r>
      <w:r>
        <w:rPr>
          <w:rFonts w:ascii="Arial" w:hAnsi="Arial" w:eastAsia="Arial" w:cs="Arial"/>
          <w:color w:val="282828"/>
        </w:rPr>
        <w:t xml:space="preserve"> использованные источники.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24. Решение о дате, месте и времени проведения второго этапа конкурса принимается Росимуществом после проверки достоверности сведений, представленных претендентами на конкурс.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25. Предполагаемая дата проведения второго этапа конкурса – 7 июня 2023 г. Не позднее чем за 15 календарных дней до даты проведения второго этапа конкурса на официальном сайте Федерального агентства по управлению государственным имуществом и официальном са</w:t>
      </w:r>
      <w:r>
        <w:rPr>
          <w:rFonts w:ascii="Arial" w:hAnsi="Arial" w:eastAsia="Arial" w:cs="Arial"/>
          <w:color w:val="282828"/>
        </w:rPr>
        <w:t xml:space="preserve">йте федеральной государственной информационной системы в области государственной службы в сети «Интернет» размещается информация о дате, месте и времени его проведения, список кандидатов, допущенных к участию в конкурсе, кандидатам направляются соответству</w:t>
      </w:r>
      <w:r>
        <w:rPr>
          <w:rFonts w:ascii="Arial" w:hAnsi="Arial" w:eastAsia="Arial" w:cs="Arial"/>
          <w:color w:val="282828"/>
        </w:rPr>
        <w:t xml:space="preserve">ющие сообщения в письменной форме, при этом кандидатам, которые представили документы для участия в конкурсе в электронном виде, – в форме электронного документа, подписанного усиленной квалифицированной электронной подписью, с использованием указанной инф</w:t>
      </w:r>
      <w:r>
        <w:rPr>
          <w:rFonts w:ascii="Arial" w:hAnsi="Arial" w:eastAsia="Arial" w:cs="Arial"/>
          <w:color w:val="282828"/>
        </w:rPr>
        <w:t xml:space="preserve">ормационной системы.</w:t>
      </w:r>
      <w:r/>
    </w:p>
    <w:p>
      <w:pPr>
        <w:ind w:left="0" w:right="0" w:firstLine="0"/>
        <w:jc w:val="left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Личный прием документов для участия в конкурсе будет осуществляться</w:t>
      </w:r>
      <w:r>
        <w:rPr>
          <w:rFonts w:ascii="Arial" w:hAnsi="Arial" w:eastAsia="Arial" w:cs="Arial"/>
          <w:color w:val="282828"/>
          <w:sz w:val="23"/>
        </w:rPr>
        <w:t xml:space="preserve"> </w:t>
      </w:r>
      <w:r>
        <w:rPr>
          <w:rFonts w:ascii="Arial" w:hAnsi="Arial" w:eastAsia="Arial" w:cs="Arial"/>
          <w:b/>
          <w:color w:val="282828"/>
          <w:sz w:val="23"/>
        </w:rPr>
        <w:t xml:space="preserve">с 26 апреля 2023 г. по 16 мая 2023 г.</w:t>
      </w:r>
      <w:r>
        <w:rPr>
          <w:rFonts w:ascii="Arial" w:hAnsi="Arial" w:eastAsia="Arial" w:cs="Arial"/>
          <w:color w:val="282828"/>
          <w:sz w:val="23"/>
        </w:rPr>
        <w:t xml:space="preserve"> </w:t>
        <w:br/>
      </w:r>
      <w:r>
        <w:rPr>
          <w:rFonts w:ascii="Arial" w:hAnsi="Arial" w:eastAsia="Arial" w:cs="Arial"/>
          <w:color w:val="282828"/>
        </w:rPr>
        <w:t xml:space="preserve">Время приема документов: с 14:00 до 17:00. </w:t>
        <w:br/>
        <w:t xml:space="preserve">Адрес приема документов: 109012, г. Москва, ул. Ермолаевский переулок, д. 3, каб. 418.</w:t>
        <w:br/>
        <w:t xml:space="preserve">Предварительная запись по телефону: </w:t>
        <w:br/>
        <w:t xml:space="preserve">8 (495) 647-71-77, доб. 4075 Смирнова Анастасия Игоревна, </w:t>
        <w:br/>
        <w:t xml:space="preserve">8 (495) 647-71-77, доб. 4883 Губ</w:t>
      </w:r>
      <w:r>
        <w:rPr>
          <w:rFonts w:ascii="Arial" w:hAnsi="Arial" w:eastAsia="Arial" w:cs="Arial"/>
          <w:color w:val="282828"/>
        </w:rPr>
        <w:t xml:space="preserve">ина Галина Павловна.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26. Гражданам (гражданским служащим), участвовавшим в конкурсе, сообщается о его результатах в письменной форме в течение трех рабочих дней со дня завершения конкурса. Документы претендентов, не допущенных к участию в конкурсе, и кандидатов, участвовавших </w:t>
      </w:r>
      <w:r>
        <w:rPr>
          <w:rFonts w:ascii="Arial" w:hAnsi="Arial" w:eastAsia="Arial" w:cs="Arial"/>
          <w:color w:val="282828"/>
        </w:rPr>
        <w:t xml:space="preserve">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агентства по управлению государственным имуществом, после чего подлежат уничтожен</w:t>
      </w:r>
      <w:r>
        <w:rPr>
          <w:rFonts w:ascii="Arial" w:hAnsi="Arial" w:eastAsia="Arial" w:cs="Arial"/>
          <w:color w:val="282828"/>
        </w:rPr>
        <w:t xml:space="preserve">ию. Документы для участия в конкурсе, представленные в электронном виде, хранятся в течение трех лет, после чего подлежат удалению.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27. По результатам конкурса заключается договор о целевом обучении между Федеральным агентством по управлению государственным имуществом и гражданином Российской Федерации с обязательством последующего прохождения федеральной государственной гражданской сл</w:t>
      </w:r>
      <w:r>
        <w:rPr>
          <w:rFonts w:ascii="Arial" w:hAnsi="Arial" w:eastAsia="Arial" w:cs="Arial"/>
          <w:color w:val="282828"/>
        </w:rPr>
        <w:t xml:space="preserve">ужбы в Росимуществе.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28. По решению руководителя Росимущества перед заключением договора о целевом обучении может быть осуществлена проверка достоверности и полноты персональных данных и иных сведений, содержащихся в документах, представленных гражданином, в соответствии с пун</w:t>
      </w:r>
      <w:r>
        <w:rPr>
          <w:rFonts w:ascii="Arial" w:hAnsi="Arial" w:eastAsia="Arial" w:cs="Arial"/>
          <w:color w:val="282828"/>
        </w:rPr>
        <w:t xml:space="preserve">ктами 8 – 14 Объявления.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29. Сведения, представленные в электронной форме, подвергаются автоматизированной проверке в порядке, установленном Правительством Российской Федерации.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30. Граждане (гражданские служащие), участвовавшие в конкурсе, вправе обжаловать решение конкурсной комиссии в соответствии с законодательством Российской Федерации.</w:t>
      </w:r>
      <w:r/>
    </w:p>
    <w:p>
      <w:pPr>
        <w:ind w:left="0" w:right="0" w:firstLine="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31. С подробной информацией о Федеральном агентстве по управлению государственным имуществом можно ознакомиться на сайте www.rosim.ru.</w:t>
      </w:r>
      <w:r/>
      <w:r/>
      <w:r/>
      <w:r>
        <w:rPr>
          <w:rFonts w:ascii="Arial" w:hAnsi="Arial" w:eastAsia="Arial" w:cs="Arial"/>
        </w:rPr>
      </w:r>
    </w:p>
    <w:sectPr>
      <w:footnotePr/>
      <w:endnotePr/>
      <w:type w:val="nextPage"/>
      <w:pgSz w:w="11906" w:h="16838" w:orient="portrait"/>
      <w:pgMar w:top="850" w:right="850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bazilevich_a_a</cp:lastModifiedBy>
  <cp:revision>1</cp:revision>
  <dcterms:modified xsi:type="dcterms:W3CDTF">2025-12-24T15:29:24Z</dcterms:modified>
</cp:coreProperties>
</file>