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4644"/>
        <w:gridCol w:w="5382"/>
      </w:tblGrid>
      <w:tr>
        <w:tc>
          <w:tcPr>
            <w:tcW w:type="dxa" w:w="4644"/>
          </w:tcPr>
          <w:p w14:paraId="0A000000">
            <w:pPr>
              <w:ind/>
              <w:jc w:val="center"/>
              <w:rPr>
                <w:b w:val="1"/>
                <w:sz w:val="26"/>
                <w:u w:val="single"/>
              </w:rPr>
            </w:pPr>
            <w:r>
              <w:rPr>
                <w:b w:val="1"/>
                <w:sz w:val="26"/>
                <w:u w:val="single"/>
              </w:rPr>
              <w:t>Письмо от 15.09.2025 № АП-06/38215</w:t>
            </w:r>
          </w:p>
          <w:p w14:paraId="0B000000">
            <w:pPr>
              <w:rPr>
                <w:sz w:val="26"/>
              </w:rPr>
            </w:pPr>
          </w:p>
          <w:p w14:paraId="0C000000">
            <w:pPr>
              <w:tabs>
                <w:tab w:leader="none" w:pos="2565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ab/>
            </w:r>
          </w:p>
          <w:p w14:paraId="0D000000">
            <w:pPr>
              <w:rPr>
                <w:sz w:val="26"/>
              </w:rPr>
            </w:pPr>
          </w:p>
          <w:p w14:paraId="0E000000">
            <w:pPr>
              <w:rPr>
                <w:sz w:val="26"/>
              </w:rPr>
            </w:pPr>
          </w:p>
          <w:p w14:paraId="0F000000">
            <w:pPr>
              <w:rPr>
                <w:sz w:val="26"/>
              </w:rPr>
            </w:pPr>
          </w:p>
          <w:p w14:paraId="10000000">
            <w:pPr>
              <w:rPr>
                <w:sz w:val="26"/>
              </w:rPr>
            </w:pPr>
          </w:p>
          <w:p w14:paraId="11000000">
            <w:pPr>
              <w:rPr>
                <w:sz w:val="26"/>
              </w:rPr>
            </w:pPr>
          </w:p>
          <w:p w14:paraId="12000000">
            <w:pPr>
              <w:rPr>
                <w:sz w:val="26"/>
              </w:rPr>
            </w:pPr>
          </w:p>
          <w:p w14:paraId="13000000">
            <w:pPr>
              <w:rPr>
                <w:sz w:val="26"/>
              </w:rPr>
            </w:pPr>
          </w:p>
          <w:p w14:paraId="14000000">
            <w:pPr>
              <w:rPr>
                <w:sz w:val="26"/>
              </w:rPr>
            </w:pPr>
          </w:p>
          <w:p w14:paraId="15000000">
            <w:pPr>
              <w:rPr>
                <w:sz w:val="26"/>
              </w:rPr>
            </w:pPr>
          </w:p>
          <w:p w14:paraId="16000000">
            <w:pPr>
              <w:rPr>
                <w:sz w:val="26"/>
              </w:rPr>
            </w:pPr>
          </w:p>
          <w:p w14:paraId="17000000">
            <w:pPr>
              <w:rPr>
                <w:sz w:val="26"/>
              </w:rPr>
            </w:pPr>
          </w:p>
          <w:p w14:paraId="18000000">
            <w:pPr>
              <w:rPr>
                <w:sz w:val="26"/>
              </w:rPr>
            </w:pPr>
          </w:p>
          <w:p w14:paraId="19000000">
            <w:pPr>
              <w:rPr>
                <w:sz w:val="26"/>
              </w:rPr>
            </w:pPr>
          </w:p>
          <w:p w14:paraId="1A000000">
            <w:pPr>
              <w:ind/>
              <w:jc w:val="center"/>
            </w:pPr>
            <w:r>
              <w:t>О передаче имущества религиозного назначения</w:t>
            </w:r>
          </w:p>
          <w:p w14:paraId="1B000000">
            <w:pPr>
              <w:rPr>
                <w:sz w:val="26"/>
              </w:rPr>
            </w:pPr>
          </w:p>
        </w:tc>
        <w:tc>
          <w:tcPr>
            <w:tcW w:type="dxa" w:w="5382"/>
          </w:tcPr>
          <w:p w14:paraId="1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Заместителю Председателя Финансово-хозяйственного управления, Руководителю </w:t>
            </w:r>
            <w:r>
              <w:rPr>
                <w:sz w:val="26"/>
              </w:rPr>
              <w:t>Службы имущественных отношений</w:t>
            </w:r>
          </w:p>
          <w:p w14:paraId="1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Русской Православной Церкви</w:t>
            </w:r>
          </w:p>
          <w:p w14:paraId="1E000000">
            <w:pPr>
              <w:ind/>
              <w:jc w:val="center"/>
              <w:rPr>
                <w:sz w:val="26"/>
              </w:rPr>
            </w:pPr>
          </w:p>
          <w:p w14:paraId="1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Иерею Евгению Гущину</w:t>
            </w:r>
          </w:p>
          <w:p w14:paraId="20000000">
            <w:pPr>
              <w:ind/>
              <w:jc w:val="center"/>
              <w:rPr>
                <w:sz w:val="26"/>
              </w:rPr>
            </w:pPr>
          </w:p>
          <w:p w14:paraId="2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119034, г. Москва,</w:t>
            </w:r>
          </w:p>
          <w:p w14:paraId="2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М. </w:t>
            </w:r>
            <w:r>
              <w:rPr>
                <w:sz w:val="26"/>
              </w:rPr>
              <w:t>Власьевский</w:t>
            </w:r>
            <w:r>
              <w:rPr>
                <w:sz w:val="26"/>
              </w:rPr>
              <w:t xml:space="preserve"> пер., д. 2/18, стр.1</w:t>
            </w:r>
          </w:p>
          <w:p w14:paraId="23000000">
            <w:pPr>
              <w:ind/>
              <w:jc w:val="center"/>
              <w:rPr>
                <w:sz w:val="26"/>
              </w:rPr>
            </w:pPr>
          </w:p>
          <w:p w14:paraId="2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Приход храма преподобной Ефросинии, великой к</w:t>
            </w:r>
            <w:r>
              <w:rPr>
                <w:sz w:val="26"/>
              </w:rPr>
              <w:t xml:space="preserve">нягини Московской в </w:t>
            </w:r>
            <w:r>
              <w:rPr>
                <w:sz w:val="26"/>
              </w:rPr>
              <w:t>Котловке</w:t>
            </w:r>
            <w:r>
              <w:rPr>
                <w:sz w:val="26"/>
              </w:rPr>
              <w:t xml:space="preserve"> г. </w:t>
            </w:r>
            <w:r>
              <w:rPr>
                <w:sz w:val="26"/>
              </w:rPr>
              <w:t>Москвы Московской епархии Русской Православной Церкви (Московский Патриархат)</w:t>
            </w:r>
          </w:p>
          <w:p w14:paraId="2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117638, г. Москва, Нахимовский проспект, 8</w:t>
            </w:r>
          </w:p>
          <w:p w14:paraId="26000000">
            <w:pPr>
              <w:rPr>
                <w:sz w:val="26"/>
              </w:rPr>
            </w:pPr>
          </w:p>
          <w:p w14:paraId="27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4644"/>
          </w:tcPr>
          <w:p w14:paraId="28000000">
            <w:pPr>
              <w:spacing w:line="336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5382"/>
          </w:tcPr>
          <w:p w14:paraId="29000000">
            <w:pPr>
              <w:spacing w:line="336" w:lineRule="auto"/>
              <w:ind/>
              <w:jc w:val="center"/>
              <w:rPr>
                <w:sz w:val="26"/>
              </w:rPr>
            </w:pPr>
          </w:p>
        </w:tc>
      </w:tr>
    </w:tbl>
    <w:p w14:paraId="2A000000">
      <w:pPr>
        <w:spacing w:line="336" w:lineRule="auto"/>
        <w:ind/>
        <w:jc w:val="center"/>
        <w:rPr>
          <w:sz w:val="26"/>
        </w:rPr>
      </w:pPr>
      <w:r>
        <w:rPr>
          <w:sz w:val="26"/>
        </w:rPr>
        <w:t>Ваше Преподобие!</w:t>
      </w:r>
    </w:p>
    <w:p w14:paraId="2B000000">
      <w:pPr>
        <w:spacing w:line="336" w:lineRule="auto"/>
        <w:ind w:firstLine="539" w:left="0"/>
        <w:jc w:val="both"/>
        <w:rPr>
          <w:sz w:val="26"/>
        </w:rPr>
      </w:pPr>
    </w:p>
    <w:p w14:paraId="2C000000">
      <w:pPr>
        <w:widowControl w:val="0"/>
        <w:spacing w:line="336" w:lineRule="auto"/>
        <w:ind w:firstLine="851" w:left="0"/>
        <w:jc w:val="both"/>
        <w:rPr>
          <w:sz w:val="26"/>
        </w:rPr>
      </w:pPr>
      <w:r>
        <w:rPr>
          <w:sz w:val="26"/>
        </w:rPr>
        <w:t>Росимущество рассмотрело Ваш</w:t>
      </w:r>
      <w:r>
        <w:rPr>
          <w:sz w:val="26"/>
        </w:rPr>
        <w:t>е</w:t>
      </w:r>
      <w:r>
        <w:rPr>
          <w:sz w:val="26"/>
        </w:rPr>
        <w:t xml:space="preserve"> обращени</w:t>
      </w:r>
      <w:r>
        <w:rPr>
          <w:sz w:val="26"/>
        </w:rPr>
        <w:t>е</w:t>
      </w:r>
      <w:r>
        <w:rPr>
          <w:sz w:val="26"/>
        </w:rPr>
        <w:t xml:space="preserve"> от </w:t>
      </w:r>
      <w:r>
        <w:rPr>
          <w:sz w:val="26"/>
        </w:rPr>
        <w:t>2</w:t>
      </w:r>
      <w:r>
        <w:rPr>
          <w:sz w:val="26"/>
        </w:rPr>
        <w:t>6</w:t>
      </w:r>
      <w:r>
        <w:rPr>
          <w:sz w:val="26"/>
        </w:rPr>
        <w:t>.</w:t>
      </w:r>
      <w:r>
        <w:rPr>
          <w:sz w:val="26"/>
        </w:rPr>
        <w:t>0</w:t>
      </w:r>
      <w:r>
        <w:rPr>
          <w:sz w:val="26"/>
        </w:rPr>
        <w:t>5</w:t>
      </w:r>
      <w:r>
        <w:rPr>
          <w:sz w:val="26"/>
        </w:rPr>
        <w:t>.201</w:t>
      </w:r>
      <w:r>
        <w:rPr>
          <w:sz w:val="26"/>
        </w:rPr>
        <w:t>4</w:t>
      </w:r>
      <w:r>
        <w:rPr>
          <w:sz w:val="26"/>
        </w:rPr>
        <w:t xml:space="preserve"> № </w:t>
      </w:r>
      <w:r>
        <w:rPr>
          <w:sz w:val="26"/>
        </w:rPr>
        <w:t>09/962</w:t>
      </w:r>
      <w:r>
        <w:rPr>
          <w:sz w:val="26"/>
        </w:rPr>
        <w:t xml:space="preserve"> </w:t>
      </w:r>
      <w:r>
        <w:rPr>
          <w:sz w:val="26"/>
        </w:rPr>
        <w:t>по вопросу передачи в безвозмездное пользование Местной религиозной организации «Приход храма преподобной Ефросинии, великой к</w:t>
      </w:r>
      <w:r>
        <w:rPr>
          <w:sz w:val="26"/>
        </w:rPr>
        <w:t xml:space="preserve">нягини Московской в </w:t>
      </w:r>
      <w:r>
        <w:rPr>
          <w:sz w:val="26"/>
        </w:rPr>
        <w:t>Котловке</w:t>
      </w:r>
      <w:r>
        <w:rPr>
          <w:sz w:val="26"/>
        </w:rPr>
        <w:t xml:space="preserve"> г. </w:t>
      </w:r>
      <w:r>
        <w:rPr>
          <w:sz w:val="26"/>
        </w:rPr>
        <w:t xml:space="preserve">Москвы» (далее – Религиозная организация) объекта недвижимого имущества - здания «Церковь 1747 г.» в составе ансамбля «Усадьба Меньшиковых </w:t>
      </w:r>
      <w:r>
        <w:rPr>
          <w:sz w:val="26"/>
        </w:rPr>
        <w:t>XVIII</w:t>
      </w:r>
      <w:r>
        <w:rPr>
          <w:sz w:val="26"/>
        </w:rPr>
        <w:t>-</w:t>
      </w:r>
      <w:r>
        <w:rPr>
          <w:sz w:val="26"/>
        </w:rPr>
        <w:t>XIX</w:t>
      </w:r>
      <w:r>
        <w:rPr>
          <w:sz w:val="26"/>
        </w:rPr>
        <w:t xml:space="preserve"> вв., по адресу: г. Москва, ул. Б. Черемушкинская, д. 25, стр. 9 (далее – </w:t>
      </w:r>
      <w:r>
        <w:rPr>
          <w:sz w:val="26"/>
        </w:rPr>
        <w:t>Церковь</w:t>
      </w:r>
      <w:r>
        <w:rPr>
          <w:sz w:val="26"/>
        </w:rPr>
        <w:t>), закрепленного на праве оперативного управления за ФГБУ «Государственный научный центр Российской Федерации – Институт Теоретической</w:t>
      </w:r>
      <w:r>
        <w:rPr>
          <w:sz w:val="26"/>
        </w:rPr>
        <w:t xml:space="preserve"> </w:t>
      </w:r>
      <w:r>
        <w:rPr>
          <w:sz w:val="26"/>
        </w:rPr>
        <w:t>и Экспериментальной Физики»</w:t>
      </w:r>
      <w:r>
        <w:rPr>
          <w:sz w:val="26"/>
        </w:rPr>
        <w:t xml:space="preserve"> (далее –Институт)</w:t>
      </w:r>
      <w:r>
        <w:rPr>
          <w:sz w:val="26"/>
        </w:rPr>
        <w:t>, и сообщает.</w:t>
      </w:r>
    </w:p>
    <w:p w14:paraId="2D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>Согласно письму Института от 28.07.2015 ЭЛ-7784/03 Ц</w:t>
      </w:r>
      <w:r>
        <w:rPr>
          <w:sz w:val="26"/>
        </w:rPr>
        <w:t xml:space="preserve">ерковь находится на территории ФГБУ «ГНЦ РФ – ИТЭФ» НИЦ «Курчатовский институт», которое является </w:t>
      </w:r>
      <w:r>
        <w:rPr>
          <w:sz w:val="26"/>
        </w:rPr>
        <w:t>ядерно</w:t>
      </w:r>
      <w:r>
        <w:rPr>
          <w:sz w:val="26"/>
        </w:rPr>
        <w:t xml:space="preserve"> опасным объектом 1 категории, подлежащим охране внутренними войсками МВД России.</w:t>
      </w:r>
    </w:p>
    <w:p w14:paraId="2E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>Режим постоянного государственного надзора на объектах использования атомной энергии определен постановлением Правительства Российской Федерации от 23.04.2012 № 373 в соответствии с Федеральным законом от 21.11.1995 № 170-ФЗ «Об использовании атомной энергии».</w:t>
      </w:r>
    </w:p>
    <w:p w14:paraId="2F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Распоряжением Правительства Российской Федерации от 23.04.2012 № 610-р определен перечень объектов использования атомной энергии, на которые </w:t>
      </w:r>
      <w:r>
        <w:rPr>
          <w:sz w:val="26"/>
        </w:rPr>
        <w:t>распространяется режим постоянного государственного надзора – п.14: Ядерные установки, радиационные источники, пункты хранения ядерных материалов,</w:t>
      </w:r>
      <w:r>
        <w:rPr>
          <w:sz w:val="26"/>
        </w:rPr>
        <w:t xml:space="preserve"> </w:t>
      </w:r>
      <w:r>
        <w:rPr>
          <w:sz w:val="26"/>
        </w:rPr>
        <w:t>ФГБУ «ГНЦ РФ – ИТЭФ» НИЦ «Курчатовский институт», г. Москва.</w:t>
      </w:r>
    </w:p>
    <w:p w14:paraId="30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>Кроме того, согласно, экспертн</w:t>
      </w:r>
      <w:r>
        <w:rPr>
          <w:sz w:val="26"/>
        </w:rPr>
        <w:t>ому заключению ФГБУ ФМ им. А.И. </w:t>
      </w:r>
      <w:r>
        <w:rPr>
          <w:sz w:val="26"/>
        </w:rPr>
        <w:t>Бурназяна</w:t>
      </w:r>
      <w:r>
        <w:rPr>
          <w:sz w:val="26"/>
        </w:rPr>
        <w:t xml:space="preserve"> ФМБА России от 17.08.2012, санитарно-эпидемиологическому заключению</w:t>
      </w:r>
      <w:r>
        <w:rPr>
          <w:sz w:val="26"/>
        </w:rPr>
        <w:br/>
      </w:r>
      <w:r>
        <w:rPr>
          <w:sz w:val="26"/>
        </w:rPr>
        <w:t>от 29.10.2012 № 77.МУ.02.000.Т.000019.10.12 и проекту организации санитарно-защитной зоны для Института Церковь, находящаяся на территории Института, входит в санитарно-защитную зону, которая по совокупности факторов (</w:t>
      </w:r>
      <w:r>
        <w:rPr>
          <w:sz w:val="26"/>
        </w:rPr>
        <w:t>загрязнение атмосферного воздуха, шумовое воздействие, радиационное излучение) ограничивается территорией учреждения.</w:t>
      </w:r>
    </w:p>
    <w:p w14:paraId="31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>Необходимо отметить, что согласно статье 31 Федерального закона</w:t>
      </w:r>
      <w:r>
        <w:rPr>
          <w:sz w:val="26"/>
        </w:rPr>
        <w:br/>
      </w:r>
      <w:r>
        <w:rPr>
          <w:sz w:val="26"/>
        </w:rPr>
        <w:t>от 21.11.1995 № 170-ФЗ «Об использовании атомной энергии» в санитарно-защитной зоне запрещается размещение общественных зданий, а также зданий, не относящихся к функционированию ядерной установки и не предусмотренных утвержденным проектом санитарно-защитной зоны и Институт не вправе открыть территорию учреждения неограниченному кругу лиц, исходя из необходимости поддержания на соответствующем уровне существующего антитеррористического режима и</w:t>
      </w:r>
      <w:r>
        <w:rPr>
          <w:sz w:val="26"/>
        </w:rPr>
        <w:br/>
      </w:r>
      <w:r>
        <w:rPr>
          <w:sz w:val="26"/>
        </w:rPr>
        <w:t>в интересах обеспечения ядерной и радиационной безопасности.</w:t>
      </w:r>
    </w:p>
    <w:p w14:paraId="32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В соответствии с п. 2 ст. 129 Гражданского кодекса Российской Федерации законом или в установленном законом порядке могут быть введены ограничения </w:t>
      </w:r>
      <w:r>
        <w:rPr>
          <w:sz w:val="26"/>
        </w:rPr>
        <w:t>оборотоспособности</w:t>
      </w:r>
      <w:r>
        <w:rPr>
          <w:sz w:val="26"/>
        </w:rPr>
        <w:t xml:space="preserve">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сделок, с которыми допускается по специальному разрешению.</w:t>
      </w:r>
    </w:p>
    <w:p w14:paraId="33000000">
      <w:pPr>
        <w:spacing w:line="336" w:lineRule="auto"/>
        <w:ind w:firstLine="709" w:left="0"/>
        <w:jc w:val="both"/>
        <w:rPr>
          <w:sz w:val="26"/>
        </w:rPr>
      </w:pPr>
      <w:r>
        <w:rPr>
          <w:sz w:val="26"/>
        </w:rPr>
        <w:t>Таким образом, здани</w:t>
      </w:r>
      <w:r>
        <w:rPr>
          <w:sz w:val="26"/>
        </w:rPr>
        <w:t>е Церкви</w:t>
      </w:r>
      <w:r>
        <w:rPr>
          <w:sz w:val="26"/>
        </w:rPr>
        <w:t>, расположе</w:t>
      </w:r>
      <w:r>
        <w:rPr>
          <w:sz w:val="26"/>
        </w:rPr>
        <w:t>нное</w:t>
      </w:r>
      <w:r>
        <w:rPr>
          <w:sz w:val="26"/>
        </w:rPr>
        <w:t xml:space="preserve"> на </w:t>
      </w:r>
      <w:r>
        <w:rPr>
          <w:sz w:val="26"/>
        </w:rPr>
        <w:t xml:space="preserve">территории </w:t>
      </w:r>
      <w:r>
        <w:rPr>
          <w:sz w:val="26"/>
        </w:rPr>
        <w:t>ядерно</w:t>
      </w:r>
      <w:r>
        <w:rPr>
          <w:sz w:val="26"/>
        </w:rPr>
        <w:t xml:space="preserve"> опасного</w:t>
      </w:r>
      <w:r>
        <w:rPr>
          <w:sz w:val="26"/>
        </w:rPr>
        <w:t xml:space="preserve"> объект</w:t>
      </w:r>
      <w:r>
        <w:rPr>
          <w:sz w:val="26"/>
        </w:rPr>
        <w:t>а</w:t>
      </w:r>
      <w:r>
        <w:rPr>
          <w:sz w:val="26"/>
        </w:rPr>
        <w:t>,</w:t>
      </w:r>
      <w:r>
        <w:rPr>
          <w:sz w:val="26"/>
        </w:rPr>
        <w:t xml:space="preserve"> в санитарно-защитной зоне которого запрещается размещение</w:t>
      </w:r>
      <w:r>
        <w:rPr>
          <w:sz w:val="26"/>
        </w:rPr>
        <w:t xml:space="preserve"> общественных зданий</w:t>
      </w:r>
      <w:r>
        <w:rPr>
          <w:sz w:val="26"/>
        </w:rPr>
        <w:t xml:space="preserve">, в </w:t>
      </w:r>
      <w:r>
        <w:rPr>
          <w:sz w:val="26"/>
        </w:rPr>
        <w:t>соответствии с действующим законодательством Российской Федерации</w:t>
      </w:r>
      <w:r>
        <w:rPr>
          <w:sz w:val="26"/>
        </w:rPr>
        <w:t xml:space="preserve"> не мо</w:t>
      </w:r>
      <w:r>
        <w:rPr>
          <w:sz w:val="26"/>
        </w:rPr>
        <w:t>жет</w:t>
      </w:r>
      <w:r>
        <w:rPr>
          <w:sz w:val="26"/>
        </w:rPr>
        <w:t xml:space="preserve"> быть передан</w:t>
      </w:r>
      <w:r>
        <w:rPr>
          <w:sz w:val="26"/>
        </w:rPr>
        <w:t>о</w:t>
      </w:r>
      <w:r>
        <w:rPr>
          <w:sz w:val="26"/>
        </w:rPr>
        <w:t xml:space="preserve"> религиозной организации.</w:t>
      </w:r>
    </w:p>
    <w:p w14:paraId="34000000">
      <w:pPr>
        <w:spacing w:line="336" w:lineRule="auto"/>
        <w:ind w:firstLine="539" w:left="0"/>
        <w:jc w:val="both"/>
        <w:rPr>
          <w:sz w:val="26"/>
        </w:rPr>
      </w:pPr>
      <w:r>
        <w:rPr>
          <w:sz w:val="26"/>
        </w:rPr>
        <w:t>В связи с изложенным, в</w:t>
      </w:r>
      <w:r>
        <w:rPr>
          <w:sz w:val="26"/>
        </w:rPr>
        <w:t>озвращаем</w:t>
      </w:r>
      <w:r>
        <w:rPr>
          <w:sz w:val="26"/>
        </w:rPr>
        <w:t xml:space="preserve"> пакет документов.</w:t>
      </w:r>
    </w:p>
    <w:p w14:paraId="35000000">
      <w:pPr>
        <w:ind w:firstLine="539" w:left="0"/>
        <w:jc w:val="both"/>
        <w:rPr>
          <w:sz w:val="26"/>
        </w:rPr>
      </w:pPr>
    </w:p>
    <w:p w14:paraId="36000000">
      <w:pPr>
        <w:spacing w:line="336" w:lineRule="auto"/>
        <w:ind w:firstLine="540" w:left="0"/>
        <w:jc w:val="both"/>
        <w:rPr>
          <w:sz w:val="26"/>
        </w:rPr>
      </w:pPr>
      <w:r>
        <w:rPr>
          <w:sz w:val="26"/>
        </w:rPr>
        <w:t xml:space="preserve">Приложение: на </w:t>
      </w:r>
      <w:r>
        <w:rPr>
          <w:sz w:val="26"/>
        </w:rPr>
        <w:t>6</w:t>
      </w:r>
      <w:r>
        <w:rPr>
          <w:sz w:val="26"/>
        </w:rPr>
        <w:t>0</w:t>
      </w:r>
      <w:r>
        <w:rPr>
          <w:sz w:val="26"/>
        </w:rPr>
        <w:t xml:space="preserve"> л. в 1 экз.</w:t>
      </w:r>
      <w:r>
        <w:rPr>
          <w:sz w:val="26"/>
        </w:rPr>
        <w:t xml:space="preserve"> в первый адрес</w:t>
      </w:r>
      <w:bookmarkStart w:id="1" w:name="_GoBack"/>
      <w:bookmarkEnd w:id="1"/>
    </w:p>
    <w:p w14:paraId="37000000">
      <w:pPr>
        <w:spacing w:line="360" w:lineRule="auto"/>
        <w:ind/>
        <w:rPr>
          <w:sz w:val="26"/>
        </w:rPr>
      </w:pPr>
    </w:p>
    <w:p w14:paraId="38000000">
      <w:pPr>
        <w:spacing w:line="360" w:lineRule="auto"/>
        <w:ind/>
        <w:rPr>
          <w:sz w:val="26"/>
        </w:rPr>
      </w:pPr>
      <w:r>
        <w:rPr>
          <w:sz w:val="26"/>
        </w:rPr>
        <w:t>Врио</w:t>
      </w:r>
      <w:r>
        <w:rPr>
          <w:sz w:val="26"/>
        </w:rPr>
        <w:t xml:space="preserve"> заместителя руководителя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</w:t>
      </w:r>
      <w:r>
        <w:rPr>
          <w:sz w:val="26"/>
        </w:rPr>
        <w:t xml:space="preserve">         А</w:t>
      </w:r>
      <w:r>
        <w:rPr>
          <w:sz w:val="26"/>
        </w:rPr>
        <w:t xml:space="preserve">.Ю. </w:t>
      </w:r>
      <w:r>
        <w:rPr>
          <w:sz w:val="26"/>
        </w:rPr>
        <w:t>Павлов</w:t>
      </w:r>
    </w:p>
    <w:p w14:paraId="39000000">
      <w:pPr>
        <w:spacing w:line="360" w:lineRule="auto"/>
        <w:ind/>
        <w:rPr>
          <w:sz w:val="26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794" w:footer="709" w:gutter="0" w:header="709" w:left="1701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tabs>
        <w:tab w:leader="none" w:pos="4677" w:val="center"/>
        <w:tab w:leader="none" w:pos="9355" w:val="right"/>
      </w:tabs>
      <w:ind/>
      <w:rPr>
        <w:sz w:val="16"/>
      </w:rPr>
    </w:pPr>
    <w:r>
      <w:rPr>
        <w:sz w:val="16"/>
      </w:rPr>
      <w:t>И.Ф. Косякова</w:t>
    </w:r>
  </w:p>
  <w:p w14:paraId="04000000">
    <w:pPr>
      <w:tabs>
        <w:tab w:leader="none" w:pos="4677" w:val="center"/>
        <w:tab w:leader="none" w:pos="9355" w:val="right"/>
      </w:tabs>
      <w:ind/>
      <w:rPr>
        <w:sz w:val="16"/>
      </w:rPr>
    </w:pPr>
    <w:r>
      <w:rPr>
        <w:rFonts w:ascii="Wingdings" w:hAnsi="Wingdings"/>
        <w:sz w:val="16"/>
      </w:rPr>
      <w:t>(</w:t>
    </w:r>
    <w:r>
      <w:rPr>
        <w:sz w:val="16"/>
      </w:rPr>
      <w:t xml:space="preserve"> (495) 647 71 77 *2282</w:t>
    </w:r>
  </w:p>
  <w:p w14:paraId="05000000">
    <w:pPr>
      <w:tabs>
        <w:tab w:leader="none" w:pos="4677" w:val="center"/>
        <w:tab w:leader="none" w:pos="9355" w:val="right"/>
      </w:tabs>
      <w:spacing w:after="160" w:line="240" w:lineRule="exact"/>
      <w:ind/>
      <w:rPr>
        <w:sz w:val="12"/>
      </w:rPr>
    </w:pPr>
    <w:r>
      <w:rPr>
        <w:sz w:val="12"/>
      </w:rPr>
      <w:t>Управление по размещению федеральных органов власти и иных организаций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4"/>
    <w:link w:val="Style_11_ch"/>
    <w:pPr>
      <w:spacing w:line="360" w:lineRule="auto"/>
      <w:ind w:firstLine="708" w:left="0"/>
      <w:jc w:val="both"/>
    </w:pPr>
    <w:rPr>
      <w:sz w:val="26"/>
    </w:rPr>
  </w:style>
  <w:style w:styleId="Style_11_ch" w:type="character">
    <w:name w:val="Body Text Indent"/>
    <w:basedOn w:val="Style_4_ch"/>
    <w:link w:val="Style_11"/>
    <w:rPr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2" w:type="paragraph">
    <w:name w:val="ConsPlusNormal"/>
    <w:link w:val="Style_1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4"/>
    <w:link w:val="Style_22_ch"/>
    <w:pPr>
      <w:ind w:firstLine="0"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Body Text"/>
    <w:basedOn w:val="Style_4"/>
    <w:link w:val="Style_28_ch"/>
    <w:pPr>
      <w:ind/>
      <w:jc w:val="center"/>
    </w:pPr>
    <w:rPr>
      <w:sz w:val="28"/>
    </w:rPr>
  </w:style>
  <w:style w:styleId="Style_28_ch" w:type="character">
    <w:name w:val="Body Text"/>
    <w:basedOn w:val="Style_4_ch"/>
    <w:link w:val="Style_28"/>
    <w:rPr>
      <w:sz w:val="28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2024-02-07T11:57:57Z</dcterms:modified>
</cp:coreProperties>
</file>