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jc w:val="right"/>
        <w:rPr>
          <w:b w:val="1"/>
          <w:sz w:val="24"/>
          <w:u w:val="single"/>
        </w:rPr>
      </w:pPr>
      <w:r>
        <w:rPr>
          <w:b w:val="1"/>
          <w:sz w:val="24"/>
        </w:rPr>
        <w:t>Приложение</w:t>
      </w:r>
      <w:r>
        <w:rPr>
          <w:b w:val="1"/>
          <w:sz w:val="24"/>
        </w:rPr>
        <w:t xml:space="preserve">№ </w:t>
      </w:r>
      <w:r>
        <w:rPr>
          <w:b w:val="1"/>
          <w:sz w:val="24"/>
        </w:rPr>
        <w:t>2</w:t>
      </w:r>
    </w:p>
    <w:p w14:paraId="04000000">
      <w:pPr>
        <w:keepNext w:val="1"/>
        <w:widowControl w:val="1"/>
        <w:ind/>
        <w:outlineLvl w:val="3"/>
        <w:rPr>
          <w:b w:val="1"/>
          <w:sz w:val="24"/>
        </w:rPr>
      </w:pPr>
    </w:p>
    <w:p w14:paraId="05000000">
      <w:pPr>
        <w:widowControl w:val="1"/>
        <w:ind/>
        <w:jc w:val="center"/>
        <w:rPr>
          <w:b w:val="1"/>
          <w:sz w:val="24"/>
        </w:rPr>
      </w:pPr>
      <w:r>
        <w:rPr>
          <w:b w:val="1"/>
          <w:sz w:val="24"/>
        </w:rPr>
        <w:t>Договор купли-продажи</w:t>
      </w:r>
    </w:p>
    <w:p w14:paraId="06000000">
      <w:pPr>
        <w:widowControl w:val="1"/>
        <w:ind/>
        <w:jc w:val="center"/>
        <w:rPr>
          <w:b w:val="1"/>
          <w:sz w:val="24"/>
        </w:rPr>
      </w:pPr>
      <w:r>
        <w:rPr>
          <w:b w:val="1"/>
          <w:sz w:val="24"/>
        </w:rPr>
        <w:t>________________________________________</w:t>
      </w:r>
    </w:p>
    <w:p w14:paraId="07000000">
      <w:pPr>
        <w:widowControl w:val="1"/>
        <w:ind/>
        <w:jc w:val="center"/>
        <w:rPr>
          <w:i w:val="1"/>
          <w:sz w:val="24"/>
        </w:rPr>
      </w:pPr>
      <w:r>
        <w:rPr>
          <w:i w:val="1"/>
          <w:sz w:val="24"/>
        </w:rPr>
        <w:t>(наименование имущества)</w:t>
      </w:r>
    </w:p>
    <w:p w14:paraId="08000000">
      <w:pPr>
        <w:widowControl w:val="1"/>
        <w:ind/>
        <w:jc w:val="center"/>
        <w:rPr>
          <w:sz w:val="24"/>
        </w:rPr>
      </w:pPr>
      <w:r>
        <w:rPr>
          <w:b w:val="1"/>
          <w:sz w:val="24"/>
        </w:rPr>
        <w:t>посредством публичного предложения</w:t>
      </w:r>
    </w:p>
    <w:p w14:paraId="09000000">
      <w:pPr>
        <w:widowControl w:val="1"/>
        <w:ind/>
        <w:jc w:val="center"/>
        <w:rPr>
          <w:sz w:val="24"/>
        </w:rPr>
      </w:pPr>
    </w:p>
    <w:p w14:paraId="0A000000">
      <w:pPr>
        <w:widowControl w:val="1"/>
        <w:ind w:right="-48"/>
        <w:rPr>
          <w:sz w:val="24"/>
        </w:rPr>
      </w:pPr>
      <w:r>
        <w:rPr>
          <w:sz w:val="24"/>
        </w:rPr>
        <w:t>г. ____________                                                                          «___» _________ _____г.</w:t>
      </w:r>
    </w:p>
    <w:p w14:paraId="0B000000">
      <w:pPr>
        <w:widowControl w:val="1"/>
        <w:ind/>
        <w:jc w:val="both"/>
        <w:rPr>
          <w:sz w:val="24"/>
        </w:rPr>
      </w:pPr>
    </w:p>
    <w:p w14:paraId="0C000000">
      <w:pPr>
        <w:widowControl w:val="1"/>
        <w:ind w:firstLine="720" w:left="0"/>
        <w:jc w:val="both"/>
        <w:rPr>
          <w:sz w:val="24"/>
        </w:rPr>
      </w:pPr>
      <w:r>
        <w:rPr>
          <w:sz w:val="24"/>
        </w:rPr>
        <w:t>Межрегиональное территориальное управление Федерального агентства по управлению государственным имуществом в Тюменской области.</w:t>
      </w:r>
      <w:r>
        <w:rPr>
          <w:sz w:val="24"/>
        </w:rPr>
        <w:t xml:space="preserve">, именуемое в дальнейшем </w:t>
      </w:r>
      <w:r>
        <w:rPr>
          <w:b w:val="1"/>
          <w:sz w:val="24"/>
        </w:rPr>
        <w:t>«Продавец»</w:t>
      </w:r>
      <w:r>
        <w:rPr>
          <w:sz w:val="24"/>
        </w:rPr>
        <w:t xml:space="preserve">, в лице____________, действующего (-ей) на основании Доверенности от «___»_________ _____г. №__________/Приказа </w:t>
      </w:r>
      <w:r>
        <w:rPr>
          <w:sz w:val="24"/>
        </w:rPr>
        <w:t>Территориального управления Федерального агентства по управлению государственным имуществом в ___________ от «</w:t>
      </w:r>
      <w:r>
        <w:rPr>
          <w:sz w:val="24"/>
        </w:rPr>
        <w:t>___» __________ ______г. №_____</w:t>
      </w:r>
      <w:r>
        <w:rPr>
          <w:sz w:val="24"/>
        </w:rPr>
        <w:t xml:space="preserve">, с одной стороны, и _____________________, именуемое (-ая, -ый) в дальнейшем </w:t>
      </w:r>
      <w:r>
        <w:rPr>
          <w:b w:val="1"/>
          <w:sz w:val="24"/>
        </w:rPr>
        <w:t>«Покупатель»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 № 178-ФЗ,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положениями информационного сообщения о продаже _____________________</w:t>
      </w:r>
      <w:r>
        <w:rPr>
          <w:i w:val="1"/>
          <w:sz w:val="24"/>
        </w:rPr>
        <w:t>(наименование имуществ, с указанием места нахождения)</w:t>
      </w:r>
      <w:r>
        <w:rPr>
          <w:i w:val="1"/>
          <w:sz w:val="24"/>
        </w:rPr>
        <w:t>,</w:t>
      </w:r>
      <w:r>
        <w:rPr>
          <w:sz w:val="24"/>
        </w:rPr>
        <w:t xml:space="preserve">размещенного  на сайте Организатора торгов _____________________________, </w:t>
      </w:r>
      <w:r>
        <w:rPr>
          <w:sz w:val="24"/>
        </w:rPr>
        <w:t xml:space="preserve">на сайте Росимущества в сети "Интернет" www.rosim.ru, официальном сайте Российской Федерации в сети "Интернет" www.torgi.gov.ru (далее – «Информационное сообщение») </w:t>
      </w:r>
      <w:r>
        <w:rPr>
          <w:sz w:val="24"/>
        </w:rPr>
        <w:t xml:space="preserve">и на основании Протокола от «___»___________г. №___ об итогах </w:t>
      </w:r>
      <w:r>
        <w:rPr>
          <w:sz w:val="24"/>
        </w:rPr>
        <w:t>продажи посредством публичного предложения</w:t>
      </w:r>
      <w:r>
        <w:rPr>
          <w:sz w:val="24"/>
        </w:rPr>
        <w:t xml:space="preserve"> ____________________________ (далее – «</w:t>
      </w:r>
      <w:r>
        <w:rPr>
          <w:sz w:val="24"/>
        </w:rPr>
        <w:t>Продажа</w:t>
      </w:r>
      <w:r>
        <w:rPr>
          <w:sz w:val="24"/>
        </w:rPr>
        <w:t>») заключили настоящий Договор (далее – «настоящий Договор», «Договор») о нижеследующем.</w:t>
      </w:r>
    </w:p>
    <w:p w14:paraId="0D000000">
      <w:pPr>
        <w:widowControl w:val="1"/>
        <w:ind/>
        <w:jc w:val="center"/>
        <w:rPr>
          <w:sz w:val="24"/>
        </w:rPr>
      </w:pPr>
    </w:p>
    <w:p w14:paraId="0E000000">
      <w:pPr>
        <w:widowControl w:val="1"/>
        <w:ind/>
        <w:jc w:val="center"/>
        <w:rPr>
          <w:b w:val="1"/>
          <w:sz w:val="24"/>
        </w:rPr>
      </w:pPr>
      <w:r>
        <w:rPr>
          <w:b w:val="1"/>
          <w:sz w:val="24"/>
        </w:rPr>
        <w:t>Статья 1. Предмет Договора</w:t>
      </w:r>
    </w:p>
    <w:p w14:paraId="0F000000">
      <w:pPr>
        <w:widowControl w:val="1"/>
        <w:ind w:firstLine="720" w:left="0"/>
        <w:jc w:val="both"/>
        <w:rPr>
          <w:sz w:val="24"/>
        </w:rPr>
      </w:pPr>
      <w:r>
        <w:rPr>
          <w:sz w:val="24"/>
        </w:rPr>
        <w:t>1.1. Предметом купли-продажи по настоящему Договору является ___________________ , принадлежащее на праве собственности Российской Федерации.</w:t>
      </w:r>
    </w:p>
    <w:p w14:paraId="10000000">
      <w:pPr>
        <w:widowControl w:val="1"/>
        <w:ind w:firstLine="720" w:left="0"/>
        <w:jc w:val="both"/>
        <w:rPr>
          <w:sz w:val="24"/>
        </w:rPr>
      </w:pPr>
      <w:r>
        <w:rPr>
          <w:sz w:val="24"/>
        </w:rPr>
        <w:t>1.2. Сведения о ___________________(далее – Имущество):</w:t>
      </w:r>
    </w:p>
    <w:p w14:paraId="11000000">
      <w:pPr>
        <w:widowControl w:val="0"/>
        <w:ind w:firstLine="720" w:left="0"/>
        <w:jc w:val="both"/>
        <w:rPr>
          <w:sz w:val="24"/>
        </w:rPr>
      </w:pPr>
      <w:r>
        <w:rPr>
          <w:sz w:val="24"/>
        </w:rPr>
        <w:t>1.2.1_________________________(основание возникновения права собственности).</w:t>
      </w:r>
    </w:p>
    <w:p w14:paraId="12000000">
      <w:pPr>
        <w:widowControl w:val="0"/>
        <w:ind w:firstLine="720" w:left="0"/>
        <w:jc w:val="both"/>
        <w:rPr>
          <w:sz w:val="24"/>
        </w:rPr>
      </w:pPr>
      <w:r>
        <w:rPr>
          <w:sz w:val="24"/>
        </w:rPr>
        <w:t>1.2.2. ________________________(физические характеристики объекта недвижимости, позволяющие его идентифицировать).</w:t>
      </w:r>
    </w:p>
    <w:p w14:paraId="13000000">
      <w:pPr>
        <w:widowControl w:val="1"/>
        <w:ind/>
        <w:jc w:val="both"/>
        <w:rPr>
          <w:sz w:val="24"/>
          <w:highlight w:val="yellow"/>
        </w:rPr>
      </w:pPr>
    </w:p>
    <w:p w14:paraId="14000000">
      <w:pPr>
        <w:widowControl w:val="1"/>
        <w:ind/>
        <w:jc w:val="center"/>
        <w:rPr>
          <w:b w:val="1"/>
          <w:sz w:val="24"/>
        </w:rPr>
      </w:pPr>
      <w:r>
        <w:rPr>
          <w:b w:val="1"/>
          <w:sz w:val="24"/>
        </w:rPr>
        <w:t>Статья 2. Обязательства Сторон</w:t>
      </w:r>
    </w:p>
    <w:p w14:paraId="15000000">
      <w:pPr>
        <w:widowControl w:val="1"/>
        <w:ind w:firstLine="720" w:left="0"/>
        <w:jc w:val="both"/>
        <w:rPr>
          <w:sz w:val="24"/>
        </w:rPr>
      </w:pPr>
      <w:r>
        <w:rPr>
          <w:sz w:val="24"/>
        </w:rPr>
        <w:t>2.1. Стороны по настоящему Договору обязуются:</w:t>
      </w:r>
    </w:p>
    <w:p w14:paraId="16000000">
      <w:pPr>
        <w:widowControl w:val="1"/>
        <w:ind w:firstLine="720" w:left="0"/>
        <w:jc w:val="both"/>
        <w:rPr>
          <w:sz w:val="24"/>
        </w:rPr>
      </w:pPr>
      <w:r>
        <w:rPr>
          <w:sz w:val="24"/>
        </w:rPr>
        <w:t>2.1.1. Покупатель:</w:t>
      </w:r>
    </w:p>
    <w:p w14:paraId="17000000">
      <w:pPr>
        <w:widowControl w:val="1"/>
        <w:numPr>
          <w:ilvl w:val="0"/>
          <w:numId w:val="1"/>
        </w:numPr>
        <w:tabs>
          <w:tab w:leader="none" w:pos="1080" w:val="left"/>
        </w:tabs>
        <w:ind w:firstLine="720" w:left="0"/>
        <w:jc w:val="both"/>
        <w:rPr>
          <w:sz w:val="24"/>
        </w:rPr>
      </w:pP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p>
    <w:p w14:paraId="18000000">
      <w:pPr>
        <w:widowControl w:val="1"/>
        <w:numPr>
          <w:ilvl w:val="0"/>
          <w:numId w:val="1"/>
        </w:numPr>
        <w:tabs>
          <w:tab w:leader="none" w:pos="1080" w:val="left"/>
        </w:tabs>
        <w:ind w:firstLine="720" w:left="0"/>
        <w:jc w:val="both"/>
        <w:rPr>
          <w:sz w:val="24"/>
        </w:rPr>
      </w:pPr>
      <w:r>
        <w:rPr>
          <w:sz w:val="24"/>
        </w:rPr>
        <w:t xml:space="preserve">принять </w:t>
      </w:r>
      <w:r>
        <w:rPr>
          <w:sz w:val="24"/>
        </w:rPr>
        <w:t>Имущество</w:t>
      </w:r>
      <w:r>
        <w:rPr>
          <w:sz w:val="24"/>
        </w:rPr>
        <w:t xml:space="preserve"> в собственность.</w:t>
      </w:r>
    </w:p>
    <w:p w14:paraId="19000000">
      <w:pPr>
        <w:widowControl w:val="1"/>
        <w:ind w:firstLine="720" w:left="0"/>
        <w:jc w:val="both"/>
        <w:rPr>
          <w:sz w:val="24"/>
        </w:rPr>
      </w:pPr>
      <w:r>
        <w:rPr>
          <w:sz w:val="24"/>
        </w:rPr>
        <w:t>2.1.2. Продавец:</w:t>
      </w:r>
    </w:p>
    <w:p w14:paraId="1A000000">
      <w:pPr>
        <w:widowControl w:val="1"/>
        <w:numPr>
          <w:ilvl w:val="0"/>
          <w:numId w:val="1"/>
        </w:numPr>
        <w:tabs>
          <w:tab w:leader="none" w:pos="1080" w:val="left"/>
        </w:tabs>
        <w:ind w:firstLine="720" w:left="0"/>
        <w:jc w:val="both"/>
        <w:rPr>
          <w:sz w:val="24"/>
        </w:rPr>
      </w:pPr>
      <w:r>
        <w:rPr>
          <w:sz w:val="24"/>
        </w:rPr>
        <w:t xml:space="preserve"> осуществить действия по передаче </w:t>
      </w:r>
      <w:r>
        <w:rPr>
          <w:sz w:val="24"/>
        </w:rPr>
        <w:t>Имущества</w:t>
      </w:r>
      <w:r>
        <w:rPr>
          <w:sz w:val="24"/>
        </w:rPr>
        <w:t xml:space="preserve"> в собственность Покупателя в порядке, установленном статьей 4 настоящего Договора.</w:t>
      </w:r>
    </w:p>
    <w:p w14:paraId="1B000000">
      <w:pPr>
        <w:widowControl w:val="1"/>
        <w:ind/>
        <w:jc w:val="center"/>
        <w:rPr>
          <w:b w:val="1"/>
          <w:sz w:val="24"/>
        </w:rPr>
      </w:pPr>
    </w:p>
    <w:p w14:paraId="1C000000">
      <w:pPr>
        <w:widowControl w:val="1"/>
        <w:ind/>
        <w:jc w:val="center"/>
        <w:rPr>
          <w:b w:val="1"/>
          <w:sz w:val="24"/>
        </w:rPr>
      </w:pPr>
      <w:r>
        <w:rPr>
          <w:b w:val="1"/>
          <w:sz w:val="24"/>
        </w:rPr>
        <w:t xml:space="preserve">Статья 3. Порядок оплаты </w:t>
      </w:r>
      <w:r>
        <w:rPr>
          <w:b w:val="1"/>
          <w:sz w:val="24"/>
        </w:rPr>
        <w:t>Имущества</w:t>
      </w:r>
    </w:p>
    <w:p w14:paraId="1D000000">
      <w:pPr>
        <w:widowControl w:val="1"/>
        <w:ind w:firstLine="720" w:left="0"/>
        <w:jc w:val="both"/>
        <w:rPr>
          <w:sz w:val="24"/>
        </w:rPr>
      </w:pPr>
      <w:r>
        <w:rPr>
          <w:sz w:val="24"/>
        </w:rPr>
        <w:t xml:space="preserve">3.1. Установленная по итогам </w:t>
      </w:r>
      <w:r>
        <w:rPr>
          <w:sz w:val="24"/>
        </w:rPr>
        <w:t>Продажи</w:t>
      </w:r>
      <w:r>
        <w:rPr>
          <w:sz w:val="24"/>
        </w:rPr>
        <w:t xml:space="preserve"> цена продажи </w:t>
      </w:r>
      <w:r>
        <w:rPr>
          <w:sz w:val="24"/>
        </w:rPr>
        <w:t>Имущества</w:t>
      </w:r>
      <w:r>
        <w:rPr>
          <w:sz w:val="24"/>
        </w:rPr>
        <w:t xml:space="preserve"> составляет ____________ (__________________________) рублей.</w:t>
      </w:r>
      <w:r>
        <w:rPr>
          <w:rStyle w:val="Style_3_ch"/>
          <w:sz w:val="24"/>
        </w:rPr>
        <w:footnoteReference w:id="1"/>
      </w:r>
    </w:p>
    <w:p w14:paraId="1E000000">
      <w:pPr>
        <w:widowControl w:val="1"/>
        <w:ind w:firstLine="720" w:left="0"/>
        <w:jc w:val="both"/>
        <w:rPr>
          <w:sz w:val="24"/>
        </w:rPr>
      </w:pPr>
      <w:r>
        <w:rPr>
          <w:sz w:val="24"/>
        </w:rPr>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1F000000">
      <w:pPr>
        <w:widowControl w:val="1"/>
        <w:ind w:firstLine="720" w:left="0"/>
        <w:jc w:val="both"/>
        <w:rPr>
          <w:sz w:val="24"/>
        </w:rPr>
      </w:pPr>
      <w:r>
        <w:rPr>
          <w:sz w:val="24"/>
        </w:rPr>
        <w:t>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w:t>
      </w:r>
      <w:r>
        <w:rPr>
          <w:sz w:val="24"/>
        </w:rPr>
        <w:t xml:space="preserve">юджет не позднее ___ _________  </w:t>
      </w:r>
      <w:r>
        <w:rPr>
          <w:sz w:val="24"/>
        </w:rPr>
        <w:t xml:space="preserve"> г.  в следующем порядке:</w:t>
      </w:r>
    </w:p>
    <w:p w14:paraId="20000000">
      <w:pPr>
        <w:widowControl w:val="1"/>
        <w:ind w:firstLine="720" w:left="0"/>
        <w:jc w:val="both"/>
        <w:rPr>
          <w:sz w:val="24"/>
        </w:rPr>
      </w:pPr>
      <w:r>
        <w:rPr>
          <w:sz w:val="24"/>
        </w:rPr>
        <w:t>3.3.1. Оплата</w:t>
      </w:r>
      <w:r>
        <w:rPr>
          <w:sz w:val="24"/>
        </w:rPr>
        <w:t xml:space="preserve"> в размере __________ (________________) рублей,</w:t>
      </w:r>
      <w:r>
        <w:rPr>
          <w:sz w:val="24"/>
        </w:rPr>
        <w:t xml:space="preserve"> должна быть внесена </w:t>
      </w:r>
      <w:r>
        <w:rPr>
          <w:sz w:val="24"/>
        </w:rPr>
        <w:t>по следующим реквизитам:</w:t>
      </w:r>
    </w:p>
    <w:p w14:paraId="21000000">
      <w:pPr>
        <w:pStyle w:val="Style_4"/>
        <w:widowControl w:val="1"/>
        <w:tabs>
          <w:tab w:leader="none" w:pos="0" w:val="left"/>
        </w:tabs>
        <w:spacing w:after="0"/>
        <w:ind w:firstLine="709" w:left="0"/>
        <w:rPr>
          <w:b w:val="0"/>
          <w:sz w:val="24"/>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ного поручения): 0011</w:t>
      </w:r>
      <w:r>
        <w:rPr>
          <w:b w:val="0"/>
          <w:sz w:val="24"/>
        </w:rPr>
        <w:t xml:space="preserve"> </w:t>
      </w:r>
    </w:p>
    <w:p w14:paraId="22000000">
      <w:pPr>
        <w:widowControl w:val="1"/>
        <w:ind w:firstLine="720" w:left="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 НДС в назначении платежа.</w:t>
      </w:r>
    </w:p>
    <w:p w14:paraId="23000000">
      <w:pPr>
        <w:widowControl w:val="1"/>
        <w:ind w:firstLine="720" w:left="0"/>
        <w:jc w:val="both"/>
        <w:rPr>
          <w:sz w:val="28"/>
        </w:rPr>
      </w:pPr>
      <w:r>
        <w:rPr>
          <w:b w:val="1"/>
          <w:color w:val="FB290D"/>
          <w:sz w:val="28"/>
        </w:rPr>
        <w:t>Согласно отчета об оценке от 17.11.2025 г. №Н-46542/25 при проведении продажи недвижимого имущества указана начальная стоимость имущества без учета НДС.</w:t>
      </w:r>
      <w:r>
        <w:rPr>
          <w:b w:val="1"/>
          <w:color w:val="FB290D"/>
          <w:sz w:val="28"/>
        </w:rPr>
        <w:t xml:space="preserve"> </w:t>
      </w:r>
      <w:r>
        <w:rPr>
          <w:b w:val="1"/>
          <w:color w:val="FB290D"/>
          <w:sz w:val="28"/>
        </w:rPr>
        <w:t>По итогу продажи, итоговая стоимость недвижимого имущества по договору купли - продажи будет с учетом вступления в силу ставки НДС 22% с 1 января 2026 г.</w:t>
      </w:r>
    </w:p>
    <w:p w14:paraId="24000000">
      <w:pPr>
        <w:widowControl w:val="1"/>
        <w:ind w:firstLine="720" w:left="0"/>
        <w:jc w:val="both"/>
        <w:rPr>
          <w:sz w:val="24"/>
        </w:rPr>
      </w:pPr>
      <w:r>
        <w:rPr>
          <w:sz w:val="24"/>
        </w:rPr>
        <w:t xml:space="preserve">3.3.2. </w:t>
      </w:r>
      <w:r>
        <w:rPr>
          <w:sz w:val="24"/>
        </w:rPr>
        <w:t xml:space="preserve">Сумма НДС, в размере ___________ (___________) руб., должна быть внесена по следующим реквизитам: </w:t>
      </w:r>
      <w:r>
        <w:rPr>
          <w:b w:val="1"/>
          <w:i w:val="1"/>
          <w:sz w:val="24"/>
        </w:rPr>
        <w:t>(для физических лиц)</w:t>
      </w:r>
    </w:p>
    <w:p w14:paraId="25000000">
      <w:pPr>
        <w:pStyle w:val="Style_5"/>
        <w:widowControl w:val="1"/>
        <w:ind w:firstLine="709" w:left="0"/>
      </w:pPr>
      <w:r>
        <w:rPr>
          <w:rFonts w:ascii="Times New Roman" w:hAnsi="Times New Roman"/>
          <w:sz w:val="25"/>
        </w:rPr>
        <w:t xml:space="preserve">Получатель платежа: </w:t>
      </w:r>
      <w:r>
        <w:rPr>
          <w:rFonts w:ascii="Times New Roman" w:hAnsi="Times New Roman"/>
          <w:sz w:val="28"/>
        </w:rPr>
        <w:t xml:space="preserve">Получатель платежа: УФК по Тюменской области (МТУ </w:t>
      </w:r>
      <w:r>
        <w:rPr>
          <w:rFonts w:ascii="Times New Roman" w:hAnsi="Times New Roman"/>
          <w:sz w:val="28"/>
        </w:rPr>
        <w:t>Росимущества</w:t>
      </w:r>
      <w:r>
        <w:rPr>
          <w:rFonts w:ascii="Times New Roman" w:hAnsi="Times New Roman"/>
          <w:sz w:val="28"/>
        </w:rPr>
        <w:t xml:space="preserve"> в Тюменской области, Ханты-Мансийском автономном округе-Югре, Ямало-Ненецком</w:t>
      </w:r>
      <w:r>
        <w:rPr>
          <w:rFonts w:ascii="Times New Roman" w:hAnsi="Times New Roman"/>
          <w:sz w:val="28"/>
        </w:rPr>
        <w:t xml:space="preserve"> автономном округе, л/с 05671А20810), </w:t>
      </w:r>
      <w:r>
        <w:rPr>
          <w:rFonts w:ascii="Times New Roman" w:hAnsi="Times New Roman"/>
          <w:sz w:val="28"/>
        </w:rPr>
        <w:t xml:space="preserve">ИНН 7202198042, КПП 720301001, </w:t>
      </w:r>
      <w:r>
        <w:rPr>
          <w:rFonts w:ascii="Times New Roman" w:hAnsi="Times New Roman"/>
          <w:sz w:val="28"/>
        </w:rPr>
        <w:t xml:space="preserve">Счёт получателя 03212643000000016700, </w:t>
      </w:r>
      <w:r>
        <w:rPr>
          <w:rFonts w:ascii="Times New Roman" w:hAnsi="Times New Roman"/>
          <w:b w:val="0"/>
          <w:sz w:val="28"/>
        </w:rPr>
        <w:t xml:space="preserve">Наименование Банка: </w:t>
      </w:r>
      <w:r>
        <w:rPr>
          <w:rFonts w:ascii="Times New Roman" w:hAnsi="Times New Roman"/>
          <w:b w:val="0"/>
          <w:sz w:val="28"/>
        </w:rPr>
        <w:t>ОКЦ № 4 УГУ Б</w:t>
      </w:r>
      <w:r>
        <w:rPr>
          <w:rFonts w:ascii="Times New Roman" w:hAnsi="Times New Roman"/>
          <w:sz w:val="28"/>
        </w:rPr>
        <w:t>анка России//УФК по Тюменской области, г Тюмень</w:t>
      </w:r>
      <w:r>
        <w:rPr>
          <w:rFonts w:ascii="Times New Roman" w:hAnsi="Times New Roman"/>
          <w:sz w:val="28"/>
        </w:rPr>
        <w:t xml:space="preserve">, </w:t>
      </w:r>
      <w:r>
        <w:rPr>
          <w:rFonts w:ascii="Times New Roman" w:hAnsi="Times New Roman"/>
          <w:sz w:val="28"/>
        </w:rPr>
        <w:t xml:space="preserve">Счет банка получателя 40102810945370000060, </w:t>
      </w:r>
      <w:r>
        <w:rPr>
          <w:rFonts w:ascii="Times New Roman" w:hAnsi="Times New Roman"/>
          <w:sz w:val="28"/>
        </w:rPr>
        <w:t>БИК 017102101, ОКТМО 71701000, КБК 0</w:t>
      </w:r>
      <w:r>
        <w:t xml:space="preserve">. </w:t>
      </w:r>
    </w:p>
    <w:p w14:paraId="26000000">
      <w:pPr>
        <w:widowControl w:val="1"/>
        <w:ind w:firstLine="720" w:left="0"/>
        <w:jc w:val="both"/>
        <w:rPr>
          <w:sz w:val="24"/>
        </w:rPr>
      </w:pPr>
      <w:r>
        <w:rPr>
          <w:sz w:val="24"/>
        </w:rPr>
        <w:t>В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27000000">
      <w:pPr>
        <w:widowControl w:val="1"/>
        <w:ind w:firstLine="720" w:left="0"/>
        <w:jc w:val="both"/>
        <w:rPr>
          <w:sz w:val="24"/>
        </w:rPr>
      </w:pPr>
      <w:r>
        <w:rPr>
          <w:sz w:val="24"/>
        </w:rPr>
        <w:t xml:space="preserve">Сумма НДС, в размере ___________ (___________) руб., оплачивается Покупателем самостоятельно, в соответствии с п. 3 ст. 161 Налогового кодекса Российской Федерации. </w:t>
      </w:r>
    </w:p>
    <w:p w14:paraId="28000000">
      <w:pPr>
        <w:widowControl w:val="1"/>
        <w:ind w:firstLine="720" w:left="0"/>
        <w:jc w:val="both"/>
        <w:rPr>
          <w:b w:val="1"/>
          <w:i w:val="1"/>
          <w:sz w:val="24"/>
        </w:rPr>
      </w:pPr>
      <w:r>
        <w:rPr>
          <w:b w:val="1"/>
          <w:i w:val="1"/>
          <w:sz w:val="24"/>
        </w:rPr>
        <w:t>(для юридических лиц)</w:t>
      </w:r>
    </w:p>
    <w:p w14:paraId="29000000">
      <w:pPr>
        <w:widowControl w:val="1"/>
        <w:ind w:firstLine="720" w:left="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пункте</w:t>
      </w:r>
      <w:r>
        <w:rPr>
          <w:sz w:val="24"/>
        </w:rPr>
        <w:t xml:space="preserve">3.3. </w:t>
      </w:r>
      <w:r>
        <w:rPr>
          <w:sz w:val="24"/>
        </w:rPr>
        <w:t>Договора.</w:t>
      </w:r>
    </w:p>
    <w:p w14:paraId="2A000000">
      <w:pPr>
        <w:widowControl w:val="1"/>
        <w:ind w:firstLine="720" w:left="0"/>
        <w:jc w:val="both"/>
        <w:rPr>
          <w:sz w:val="24"/>
        </w:rPr>
      </w:pPr>
      <w:r>
        <w:rPr>
          <w:sz w:val="24"/>
        </w:rPr>
        <w:t>Исполнение</w:t>
      </w:r>
      <w:r>
        <w:rPr>
          <w:sz w:val="24"/>
        </w:rPr>
        <w:t xml:space="preserve">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2B000000">
      <w:pPr>
        <w:widowControl w:val="1"/>
        <w:ind w:firstLine="720" w:left="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2C000000">
      <w:pPr>
        <w:widowControl w:val="1"/>
        <w:ind w:firstLine="720" w:left="0"/>
        <w:jc w:val="both"/>
        <w:rPr>
          <w:sz w:val="24"/>
        </w:rPr>
      </w:pPr>
    </w:p>
    <w:p w14:paraId="2D000000">
      <w:pPr>
        <w:widowControl w:val="1"/>
        <w:tabs>
          <w:tab w:leader="none" w:pos="851" w:val="left"/>
        </w:tabs>
        <w:spacing w:after="120" w:before="120"/>
        <w:ind/>
        <w:jc w:val="center"/>
        <w:outlineLvl w:val="2"/>
        <w:rPr>
          <w:b w:val="1"/>
          <w:color w:val="000000"/>
          <w:sz w:val="24"/>
        </w:rPr>
      </w:pPr>
      <w:r>
        <w:rPr>
          <w:b w:val="1"/>
          <w:color w:val="000000"/>
          <w:sz w:val="24"/>
        </w:rPr>
        <w:t xml:space="preserve">Статья 4. Переход права собственности на </w:t>
      </w:r>
      <w:r>
        <w:rPr>
          <w:b w:val="1"/>
          <w:color w:val="000000"/>
          <w:sz w:val="24"/>
        </w:rPr>
        <w:t>Имущество</w:t>
      </w:r>
    </w:p>
    <w:p w14:paraId="2E000000">
      <w:pPr>
        <w:widowControl w:val="1"/>
        <w:ind w:firstLine="720" w:left="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p>
    <w:p w14:paraId="2F000000">
      <w:pPr>
        <w:widowControl w:val="1"/>
        <w:ind w:firstLine="720" w:left="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30000000">
      <w:pPr>
        <w:widowControl w:val="1"/>
        <w:ind w:firstLine="720" w:left="0"/>
        <w:jc w:val="both"/>
        <w:rPr>
          <w:sz w:val="24"/>
        </w:rPr>
      </w:pPr>
      <w:r>
        <w:rPr>
          <w:sz w:val="24"/>
        </w:rPr>
        <w:t xml:space="preserve">4.2. Выполнение Покупателем обязательств, указанных в пункте 3.3 настоящего Договора, подтверждается выпиской со счета федерального бюджета о поступлении денежных средств в оплату </w:t>
      </w:r>
      <w:r>
        <w:rPr>
          <w:sz w:val="24"/>
        </w:rPr>
        <w:t>Имущества</w:t>
      </w:r>
      <w:r>
        <w:rPr>
          <w:sz w:val="24"/>
        </w:rPr>
        <w:t>.</w:t>
      </w:r>
    </w:p>
    <w:p w14:paraId="31000000">
      <w:pPr>
        <w:widowControl w:val="1"/>
        <w:ind w:firstLine="720" w:left="0"/>
        <w:jc w:val="both"/>
        <w:rPr>
          <w:sz w:val="24"/>
        </w:rPr>
      </w:pPr>
      <w:r>
        <w:rPr>
          <w:sz w:val="24"/>
        </w:rPr>
        <w:t>4.3. 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п</w:t>
      </w:r>
      <w:r>
        <w:rPr>
          <w:sz w:val="24"/>
        </w:rPr>
        <w:t xml:space="preserve">рав собственности на Имущество </w:t>
      </w:r>
      <w:r>
        <w:rPr>
          <w:sz w:val="24"/>
        </w:rPr>
        <w:t>от Продавца Покупателю в полном объеме несет Покупатель.</w:t>
      </w:r>
    </w:p>
    <w:p w14:paraId="32000000">
      <w:pPr>
        <w:widowControl w:val="1"/>
        <w:ind/>
        <w:jc w:val="center"/>
        <w:rPr>
          <w:sz w:val="24"/>
        </w:rPr>
      </w:pPr>
    </w:p>
    <w:p w14:paraId="33000000">
      <w:pPr>
        <w:widowControl w:val="1"/>
        <w:tabs>
          <w:tab w:leader="none" w:pos="851" w:val="left"/>
        </w:tabs>
        <w:spacing w:after="120" w:before="120"/>
        <w:ind/>
        <w:jc w:val="center"/>
        <w:outlineLvl w:val="2"/>
        <w:rPr>
          <w:b w:val="1"/>
          <w:color w:val="000000"/>
          <w:sz w:val="24"/>
        </w:rPr>
      </w:pPr>
      <w:r>
        <w:rPr>
          <w:b w:val="1"/>
          <w:color w:val="000000"/>
          <w:sz w:val="24"/>
        </w:rPr>
        <w:t>Статья 5. Ответственность Сторон</w:t>
      </w:r>
    </w:p>
    <w:p w14:paraId="34000000">
      <w:pPr>
        <w:widowControl w:val="1"/>
        <w:ind w:firstLine="720" w:left="0"/>
        <w:jc w:val="both"/>
        <w:rPr>
          <w:sz w:val="24"/>
        </w:rPr>
      </w:pPr>
      <w:r>
        <w:rPr>
          <w:sz w:val="24"/>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5000000">
      <w:pPr>
        <w:widowControl w:val="1"/>
        <w:ind w:firstLine="700" w:left="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36000000">
      <w:pPr>
        <w:widowControl w:val="1"/>
        <w:ind w:firstLine="720" w:left="0"/>
        <w:jc w:val="both"/>
        <w:rPr>
          <w:color w:val="000000"/>
          <w:sz w:val="24"/>
        </w:rPr>
      </w:pPr>
      <w:r>
        <w:rPr>
          <w:sz w:val="24"/>
        </w:rPr>
        <w:t xml:space="preserve">- </w:t>
      </w:r>
      <w:r>
        <w:rPr>
          <w:color w:val="000000"/>
          <w:sz w:val="24"/>
        </w:rPr>
        <w:t>государственным и муниципальным унитарным предприятием, государственным и муниципальным учреждением;</w:t>
      </w:r>
    </w:p>
    <w:p w14:paraId="37000000">
      <w:pPr>
        <w:widowControl w:val="1"/>
        <w:ind w:firstLine="700" w:left="0"/>
        <w:jc w:val="both"/>
        <w:rPr>
          <w:sz w:val="24"/>
        </w:rPr>
      </w:pPr>
      <w:r>
        <w:rPr>
          <w:sz w:val="24"/>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38000000">
      <w:pPr>
        <w:widowControl w:val="1"/>
        <w:ind w:firstLine="700" w:left="0"/>
        <w:jc w:val="both"/>
        <w:rPr>
          <w:sz w:val="24"/>
        </w:rPr>
      </w:pPr>
      <w:r>
        <w:rPr>
          <w:sz w:val="24"/>
        </w:rPr>
        <w:t xml:space="preserve">- </w:t>
      </w:r>
      <w:r>
        <w:rPr>
          <w:sz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39000000">
      <w:pPr>
        <w:widowControl w:val="1"/>
        <w:ind w:firstLine="720" w:left="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3A000000">
      <w:pPr>
        <w:widowControl w:val="1"/>
        <w:ind w:firstLine="720" w:left="0"/>
        <w:jc w:val="both"/>
        <w:rPr>
          <w:sz w:val="24"/>
        </w:rPr>
      </w:pPr>
      <w:r>
        <w:rPr>
          <w:sz w:val="24"/>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3B000000">
      <w:pPr>
        <w:widowControl w:val="1"/>
        <w:ind w:firstLine="720" w:left="0"/>
        <w:jc w:val="both"/>
        <w:rPr>
          <w:sz w:val="24"/>
        </w:rPr>
      </w:pPr>
      <w:r>
        <w:rPr>
          <w:sz w:val="24"/>
        </w:rPr>
        <w:t xml:space="preserve">5.3 Просрочка внесения денежных средств в счет оплаты </w:t>
      </w:r>
      <w:r>
        <w:rPr>
          <w:sz w:val="24"/>
        </w:rPr>
        <w:t>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3C000000">
      <w:pPr>
        <w:widowControl w:val="1"/>
        <w:ind w:firstLine="720" w:left="0"/>
        <w:jc w:val="both"/>
        <w:rPr>
          <w:sz w:val="24"/>
        </w:rPr>
      </w:pPr>
      <w:r>
        <w:rPr>
          <w:sz w:val="24"/>
        </w:rPr>
        <w:t>Расторжение договора не освобождает Покупателя от уплаты пени.</w:t>
      </w:r>
    </w:p>
    <w:p w14:paraId="3D000000">
      <w:pPr>
        <w:widowControl w:val="1"/>
        <w:ind w:firstLine="720" w:left="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w:t>
      </w:r>
      <w:r>
        <w:rPr>
          <w:sz w:val="24"/>
        </w:rPr>
        <w:t xml:space="preserve">десятикратном </w:t>
      </w:r>
      <w:r>
        <w:rPr>
          <w:sz w:val="24"/>
        </w:rPr>
        <w:t xml:space="preserve">размере внесенного для участия в </w:t>
      </w:r>
      <w:r>
        <w:rPr>
          <w:sz w:val="24"/>
        </w:rPr>
        <w:t>Продаже</w:t>
      </w:r>
      <w:r>
        <w:rPr>
          <w:sz w:val="24"/>
        </w:rPr>
        <w:t xml:space="preserve"> задатка, </w:t>
      </w:r>
      <w:r>
        <w:rPr>
          <w:sz w:val="24"/>
        </w:rPr>
        <w:t>в размере</w:t>
      </w:r>
      <w:r>
        <w:rPr>
          <w:sz w:val="24"/>
        </w:rPr>
        <w:t xml:space="preserve"> _______ (_____) рублей по следующим реквизитам:</w:t>
      </w:r>
    </w:p>
    <w:p w14:paraId="3E000000">
      <w:pPr>
        <w:widowControl w:val="1"/>
        <w:ind w:firstLine="720" w:left="0"/>
        <w:jc w:val="both"/>
        <w:rPr>
          <w:sz w:val="24"/>
        </w:rPr>
      </w:pPr>
      <w:r>
        <w:rPr>
          <w:sz w:val="24"/>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3F000000">
      <w:pPr>
        <w:widowControl w:val="1"/>
        <w:ind w:firstLine="720" w:left="0"/>
        <w:jc w:val="both"/>
        <w:rPr>
          <w:sz w:val="24"/>
        </w:rPr>
      </w:pPr>
      <w:r>
        <w:rPr>
          <w:sz w:val="24"/>
        </w:rPr>
        <w:t xml:space="preserve">5.5. </w:t>
      </w:r>
      <w:r>
        <w:rPr>
          <w:sz w:val="24"/>
        </w:rPr>
        <w:t xml:space="preserve">За несоблюдение Продавцом сроков, установленных настоящим Договором по отношению к обязательствам Продавца, последний уплачивает Покупателю штраф в </w:t>
      </w:r>
      <w:r>
        <w:rPr>
          <w:sz w:val="24"/>
        </w:rPr>
        <w:t>размере</w:t>
      </w:r>
      <w:r>
        <w:rPr>
          <w:sz w:val="24"/>
        </w:rPr>
        <w:t xml:space="preserve"> 20 (двадцати) минимальных размеров оплаты труда, установленных на дату уплаты штрафа.</w:t>
      </w:r>
    </w:p>
    <w:p w14:paraId="40000000">
      <w:pPr>
        <w:widowControl w:val="1"/>
        <w:ind/>
        <w:jc w:val="center"/>
        <w:rPr>
          <w:sz w:val="24"/>
        </w:rPr>
      </w:pPr>
      <w:bookmarkStart w:id="1" w:name="_GoBack"/>
      <w:bookmarkEnd w:id="1"/>
    </w:p>
    <w:p w14:paraId="41000000">
      <w:pPr>
        <w:widowControl w:val="1"/>
        <w:ind/>
        <w:jc w:val="center"/>
        <w:rPr>
          <w:b w:val="1"/>
          <w:sz w:val="24"/>
        </w:rPr>
      </w:pPr>
      <w:r>
        <w:rPr>
          <w:b w:val="1"/>
          <w:sz w:val="24"/>
        </w:rPr>
        <w:t>Статья 6. Заключительные положения</w:t>
      </w:r>
    </w:p>
    <w:p w14:paraId="42000000">
      <w:pPr>
        <w:widowControl w:val="1"/>
        <w:ind w:firstLine="720" w:left="0"/>
        <w:jc w:val="both"/>
        <w:rPr>
          <w:sz w:val="24"/>
        </w:rPr>
      </w:pPr>
      <w:r>
        <w:rPr>
          <w:sz w:val="24"/>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3000000">
      <w:pPr>
        <w:widowControl w:val="1"/>
        <w:ind w:firstLine="720" w:left="0"/>
        <w:jc w:val="both"/>
        <w:rPr>
          <w:sz w:val="24"/>
        </w:rPr>
      </w:pPr>
      <w:r>
        <w:rPr>
          <w:sz w:val="24"/>
        </w:rPr>
        <w:t>6.2. Настоящий Договор вступает в силу с момента его подписания и прекращает свое действие:</w:t>
      </w:r>
    </w:p>
    <w:p w14:paraId="44000000">
      <w:pPr>
        <w:widowControl w:val="1"/>
        <w:numPr>
          <w:ilvl w:val="0"/>
          <w:numId w:val="0"/>
        </w:numPr>
        <w:ind w:firstLine="720" w:left="0"/>
        <w:jc w:val="both"/>
        <w:rPr>
          <w:sz w:val="24"/>
        </w:rPr>
      </w:pPr>
      <w:r>
        <w:rPr>
          <w:sz w:val="24"/>
        </w:rPr>
        <w:t>- исполнением Сторонами своих обязательств по настоящему Договору;</w:t>
      </w:r>
    </w:p>
    <w:p w14:paraId="45000000">
      <w:pPr>
        <w:widowControl w:val="1"/>
        <w:numPr>
          <w:ilvl w:val="0"/>
          <w:numId w:val="0"/>
        </w:numPr>
        <w:ind w:firstLine="720" w:left="0"/>
        <w:jc w:val="both"/>
        <w:rPr>
          <w:sz w:val="24"/>
        </w:rPr>
      </w:pPr>
      <w:r>
        <w:rPr>
          <w:sz w:val="24"/>
        </w:rPr>
        <w:t>- в случае, предусмотренном пунктом 5.2. настоящего Договора;</w:t>
      </w:r>
    </w:p>
    <w:p w14:paraId="46000000">
      <w:pPr>
        <w:widowControl w:val="1"/>
        <w:numPr>
          <w:ilvl w:val="0"/>
          <w:numId w:val="0"/>
        </w:numPr>
        <w:ind w:firstLine="720" w:left="0"/>
        <w:jc w:val="both"/>
        <w:rPr>
          <w:sz w:val="24"/>
        </w:rPr>
      </w:pPr>
      <w:r>
        <w:rPr>
          <w:sz w:val="24"/>
        </w:rPr>
        <w:t>- по иным основаниям, предусмотренным действующим законодательством.</w:t>
      </w:r>
    </w:p>
    <w:p w14:paraId="47000000">
      <w:pPr>
        <w:widowControl w:val="1"/>
        <w:ind w:firstLine="720" w:left="0"/>
        <w:jc w:val="both"/>
        <w:rPr>
          <w:sz w:val="24"/>
        </w:rPr>
      </w:pPr>
      <w:r>
        <w:rPr>
          <w:sz w:val="24"/>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8000000">
      <w:pPr>
        <w:widowControl w:val="1"/>
        <w:ind w:firstLine="720" w:left="0"/>
        <w:jc w:val="both"/>
        <w:rPr>
          <w:sz w:val="24"/>
        </w:rPr>
      </w:pPr>
      <w:r>
        <w:rPr>
          <w:sz w:val="24"/>
        </w:rPr>
        <w:t xml:space="preserve">6.4. </w:t>
      </w:r>
      <w:r>
        <w:rPr>
          <w:sz w:val="24"/>
        </w:rPr>
        <w:t>Акт приема передачи недвижимого имущества является приложением к настоящему договору и его неотъемлемой частью.</w:t>
      </w:r>
    </w:p>
    <w:p w14:paraId="49000000">
      <w:pPr>
        <w:widowControl w:val="1"/>
        <w:ind w:firstLine="720" w:left="0"/>
        <w:jc w:val="both"/>
        <w:rPr>
          <w:sz w:val="24"/>
        </w:rPr>
      </w:pPr>
      <w:r>
        <w:rPr>
          <w:sz w:val="24"/>
        </w:rPr>
        <w:t>.</w:t>
      </w:r>
    </w:p>
    <w:p w14:paraId="4A000000">
      <w:pPr>
        <w:widowControl w:val="1"/>
        <w:ind/>
        <w:jc w:val="center"/>
        <w:rPr>
          <w:b w:val="1"/>
          <w:sz w:val="24"/>
        </w:rPr>
      </w:pPr>
      <w:r>
        <w:rPr>
          <w:b w:val="1"/>
          <w:sz w:val="24"/>
        </w:rPr>
        <w:t>Статья 7. Реквизиты Сторон</w:t>
      </w:r>
    </w:p>
    <w:p w14:paraId="4B000000">
      <w:pPr>
        <w:widowControl w:val="1"/>
        <w:tabs>
          <w:tab w:leader="none" w:pos="0" w:val="left"/>
        </w:tabs>
        <w:ind/>
        <w:jc w:val="both"/>
        <w:rPr>
          <w:b w:val="1"/>
          <w:sz w:val="24"/>
        </w:rPr>
      </w:pPr>
    </w:p>
    <w:tbl>
      <w:tblPr>
        <w:tblStyle w:val="Style_6"/>
        <w:tblW w:type="auto" w:w="0"/>
        <w:tblInd w:type="dxa" w:w="108"/>
        <w:tblLayout w:type="fixed"/>
      </w:tblPr>
      <w:tblGrid>
        <w:gridCol w:w="4536"/>
        <w:gridCol w:w="4820"/>
      </w:tblGrid>
      <w:tr>
        <w:tc>
          <w:tcPr>
            <w:tcW w:type="dxa" w:w="4536"/>
          </w:tcPr>
          <w:p w14:paraId="4C000000">
            <w:pPr>
              <w:widowControl w:val="1"/>
              <w:spacing w:after="120" w:before="120"/>
              <w:ind/>
              <w:outlineLvl w:val="1"/>
              <w:rPr>
                <w:b w:val="1"/>
                <w:sz w:val="24"/>
              </w:rPr>
            </w:pPr>
            <w:r>
              <w:rPr>
                <w:b w:val="1"/>
                <w:sz w:val="24"/>
              </w:rPr>
              <w:t>Продавец</w:t>
            </w:r>
          </w:p>
          <w:p w14:paraId="4D000000">
            <w:pPr>
              <w:widowControl w:val="1"/>
              <w:spacing w:after="120" w:before="120"/>
              <w:ind/>
              <w:outlineLvl w:val="1"/>
              <w:rPr>
                <w:b w:val="1"/>
                <w:sz w:val="24"/>
              </w:rPr>
            </w:pPr>
            <w:r>
              <w:rPr>
                <w:b w:val="1"/>
                <w:sz w:val="24"/>
              </w:rPr>
              <w:t>_______________________</w:t>
            </w:r>
          </w:p>
        </w:tc>
        <w:tc>
          <w:tcPr>
            <w:tcW w:type="dxa" w:w="4820"/>
          </w:tcPr>
          <w:p w14:paraId="4E000000">
            <w:pPr>
              <w:widowControl w:val="1"/>
              <w:spacing w:after="120" w:before="120"/>
              <w:ind/>
              <w:outlineLvl w:val="1"/>
              <w:rPr>
                <w:b w:val="1"/>
                <w:sz w:val="24"/>
              </w:rPr>
            </w:pPr>
            <w:r>
              <w:rPr>
                <w:b w:val="1"/>
                <w:sz w:val="24"/>
              </w:rPr>
              <w:t>П</w:t>
            </w:r>
            <w:r>
              <w:rPr>
                <w:b w:val="1"/>
                <w:sz w:val="24"/>
              </w:rPr>
              <w:t>окупатель</w:t>
            </w:r>
          </w:p>
          <w:p w14:paraId="4F000000">
            <w:pPr>
              <w:widowControl w:val="1"/>
              <w:spacing w:after="120" w:before="120"/>
              <w:ind/>
              <w:outlineLvl w:val="1"/>
              <w:rPr>
                <w:b w:val="1"/>
                <w:sz w:val="24"/>
              </w:rPr>
            </w:pPr>
            <w:r>
              <w:rPr>
                <w:b w:val="1"/>
                <w:sz w:val="24"/>
              </w:rPr>
              <w:t>_______________________________</w:t>
            </w:r>
          </w:p>
        </w:tc>
      </w:tr>
      <w:tr>
        <w:trPr>
          <w:trHeight w:hRule="atLeast" w:val="699"/>
        </w:trPr>
        <w:tc>
          <w:tcPr>
            <w:tcW w:type="dxa" w:w="4536"/>
          </w:tcPr>
          <w:p w14:paraId="50000000">
            <w:pPr>
              <w:widowControl w:val="1"/>
              <w:ind/>
              <w:jc w:val="both"/>
              <w:rPr>
                <w:sz w:val="24"/>
              </w:rPr>
            </w:pPr>
          </w:p>
        </w:tc>
        <w:tc>
          <w:tcPr>
            <w:tcW w:type="dxa" w:w="4820"/>
          </w:tcPr>
          <w:p w14:paraId="51000000">
            <w:pPr>
              <w:widowControl w:val="1"/>
              <w:ind/>
              <w:jc w:val="both"/>
              <w:rPr>
                <w:b w:val="1"/>
                <w:sz w:val="24"/>
              </w:rPr>
            </w:pPr>
          </w:p>
        </w:tc>
      </w:tr>
    </w:tbl>
    <w:p w14:paraId="52000000">
      <w:pPr>
        <w:widowControl w:val="1"/>
        <w:spacing w:after="120" w:before="120"/>
        <w:ind/>
        <w:jc w:val="center"/>
        <w:outlineLvl w:val="1"/>
        <w:rPr>
          <w:b w:val="1"/>
          <w:sz w:val="24"/>
        </w:rPr>
      </w:pPr>
      <w:r>
        <w:rPr>
          <w:b w:val="1"/>
          <w:sz w:val="24"/>
        </w:rPr>
        <w:t>ПодписиСторон</w:t>
      </w:r>
    </w:p>
    <w:p w14:paraId="53000000">
      <w:pPr>
        <w:widowControl w:val="1"/>
        <w:ind/>
        <w:jc w:val="center"/>
        <w:rPr>
          <w:b w:val="1"/>
          <w:sz w:val="24"/>
        </w:rPr>
      </w:pPr>
      <w:r>
        <w:rPr>
          <w:b w:val="1"/>
          <w:sz w:val="24"/>
        </w:rPr>
        <w:t>Продавец                                                  Покупатель</w:t>
      </w:r>
    </w:p>
    <w:p w14:paraId="54000000">
      <w:pPr>
        <w:widowControl w:val="1"/>
        <w:ind w:hanging="284" w:left="284"/>
        <w:jc w:val="both"/>
        <w:rPr>
          <w:sz w:val="24"/>
        </w:rPr>
      </w:pPr>
    </w:p>
    <w:p w14:paraId="55000000">
      <w:pPr>
        <w:widowControl w:val="1"/>
        <w:ind w:hanging="284" w:left="284"/>
        <w:jc w:val="both"/>
        <w:rPr>
          <w:sz w:val="24"/>
        </w:rPr>
      </w:pPr>
    </w:p>
    <w:p w14:paraId="56000000">
      <w:pPr>
        <w:widowControl w:val="1"/>
        <w:ind w:hanging="284" w:left="284"/>
        <w:jc w:val="both"/>
        <w:rPr>
          <w:sz w:val="24"/>
        </w:rPr>
      </w:pPr>
      <w:r>
        <w:rPr>
          <w:sz w:val="24"/>
        </w:rPr>
        <w:t>___________ (________________)                              ___________ (_______________)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5B000000">
      <w:pPr>
        <w:spacing w:after="0" w:line="240" w:lineRule="auto"/>
        <w:ind/>
      </w:pPr>
      <w:r>
        <w:separator/>
      </w:r>
    </w:p>
  </w:endnote>
  <w:endnote w:id="0" w:type="continuationSeparator">
    <w:p w14:paraId="5C000000">
      <w:pPr>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7000000">
      <w:r>
        <w:separator/>
      </w:r>
    </w:p>
  </w:footnote>
  <w:footnote w:id="0" w:type="continuationSeparator">
    <w:p w14:paraId="58000000">
      <w:r>
        <w:continuationSeparator/>
      </w:r>
    </w:p>
  </w:footnote>
  <w:footnote w:id="1">
    <w:p w14:paraId="59000000">
      <w:pPr>
        <w:pStyle w:val="Style_30"/>
        <w:widowControl w:val="1"/>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5A000000">
      <w:pPr>
        <w:pStyle w:val="Style_30"/>
        <w:widowControl w:val="1"/>
        <w:ind/>
        <w:jc w:val="both"/>
      </w:pP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
    <w:lvl w:ilvl="0">
      <w:start w:val="3"/>
      <w:numFmt w:val="upperRoman"/>
      <w:pStyle w:val="Style_28"/>
      <w:lvlText w:val="%1."/>
      <w:lvlJc w:val="left"/>
      <w:pPr>
        <w:widowControl w:val="1"/>
        <w:tabs>
          <w:tab w:leader="none" w:pos="720" w:val="left"/>
        </w:tabs>
        <w:ind w:firstLine="0" w:left="0"/>
      </w:pPr>
      <w:rPr>
        <w:spacing w:val="0"/>
      </w:rPr>
    </w:lvl>
  </w:abstractNum>
  <w:abstractNum w:abstractNumId="2">
    <w:lvl w:ilvl="0">
      <w:start w:val="3"/>
      <w:numFmt w:val="upperRoman"/>
      <w:pStyle w:val="Style_45"/>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style>
  <w:style w:default="1" w:styleId="Style_7_ch" w:type="character">
    <w:name w:val="Normal"/>
    <w:link w:val="Style_7"/>
  </w:style>
  <w:style w:styleId="Style_8" w:type="paragraph">
    <w:name w:val="toc 2"/>
    <w:next w:val="Style_7"/>
    <w:link w:val="Style_8_ch"/>
    <w:uiPriority w:val="39"/>
    <w:pPr>
      <w:widowControl w:val="1"/>
      <w:ind w:firstLine="0" w:left="200"/>
      <w:jc w:val="left"/>
    </w:pPr>
    <w:rPr>
      <w:rFonts w:ascii="XO Thames" w:hAnsi="XO Thames"/>
      <w:sz w:val="28"/>
    </w:rPr>
  </w:style>
  <w:style w:styleId="Style_8_ch" w:type="character">
    <w:name w:val="toc 2"/>
    <w:link w:val="Style_8"/>
    <w:rPr>
      <w:rFonts w:ascii="XO Thames" w:hAnsi="XO Thames"/>
      <w:sz w:val="28"/>
    </w:rPr>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9" w:type="paragraph">
    <w:name w:val="Body Text 3"/>
    <w:basedOn w:val="Style_7"/>
    <w:link w:val="Style_9_ch"/>
    <w:pPr>
      <w:widowControl w:val="1"/>
      <w:spacing w:line="264" w:lineRule="auto"/>
      <w:ind/>
    </w:pPr>
    <w:rPr>
      <w:sz w:val="28"/>
    </w:rPr>
  </w:style>
  <w:style w:styleId="Style_9_ch" w:type="character">
    <w:name w:val="Body Text 3"/>
    <w:basedOn w:val="Style_7_ch"/>
    <w:link w:val="Style_9"/>
    <w:rPr>
      <w:sz w:val="28"/>
    </w:rPr>
  </w:style>
  <w:style w:styleId="Style_10" w:type="paragraph">
    <w:name w:val="toc 4"/>
    <w:next w:val="Style_7"/>
    <w:link w:val="Style_10_ch"/>
    <w:uiPriority w:val="39"/>
    <w:pPr>
      <w:widowControl w:val="1"/>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ConsPlusNonformat"/>
    <w:link w:val="Style_11_ch"/>
    <w:pPr>
      <w:widowControl w:val="0"/>
      <w:ind/>
    </w:pPr>
    <w:rPr>
      <w:rFonts w:ascii="Courier New" w:hAnsi="Courier New"/>
    </w:rPr>
  </w:style>
  <w:style w:styleId="Style_11_ch" w:type="character">
    <w:name w:val="ConsPlusNonformat"/>
    <w:link w:val="Style_11"/>
    <w:rPr>
      <w:rFonts w:ascii="Courier New" w:hAnsi="Courier New"/>
    </w:rPr>
  </w:style>
  <w:style w:styleId="Style_12" w:type="paragraph">
    <w:name w:val="toc 6"/>
    <w:next w:val="Style_7"/>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7"/>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2" w:type="paragraph">
    <w:name w:val="page number"/>
    <w:basedOn w:val="Style_14"/>
    <w:link w:val="Style_2_ch"/>
  </w:style>
  <w:style w:styleId="Style_2_ch" w:type="character">
    <w:name w:val="page number"/>
    <w:basedOn w:val="Style_14_ch"/>
    <w:link w:val="Style_2"/>
  </w:style>
  <w:style w:styleId="Style_1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
    <w:link w:val="Style_15_ch"/>
    <w:pPr>
      <w:widowControl w:val="1"/>
      <w:spacing w:after="160" w:line="240" w:lineRule="exact"/>
      <w:ind/>
    </w:pPr>
    <w:rPr>
      <w:rFonts w:ascii="Verdana" w:hAnsi="Verdana"/>
    </w:rPr>
  </w:style>
  <w:style w:styleId="Style_1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_ch"/>
    <w:link w:val="Style_15"/>
    <w:rPr>
      <w:rFonts w:ascii="Verdana" w:hAnsi="Verdana"/>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basedOn w:val="Style_7"/>
    <w:next w:val="Style_7"/>
    <w:link w:val="Style_17_ch"/>
    <w:uiPriority w:val="9"/>
    <w:qFormat/>
    <w:pPr>
      <w:keepNext w:val="1"/>
      <w:keepLines w:val="1"/>
      <w:widowControl w:val="1"/>
      <w:spacing w:before="200"/>
      <w:ind/>
      <w:outlineLvl w:val="2"/>
    </w:pPr>
    <w:rPr>
      <w:rFonts w:asciiTheme="majorAscii" w:hAnsiTheme="majorHAnsi"/>
      <w:b w:val="1"/>
      <w:color w:themeColor="accent1" w:val="4F81BD"/>
    </w:rPr>
  </w:style>
  <w:style w:styleId="Style_17_ch" w:type="character">
    <w:name w:val="heading 3"/>
    <w:basedOn w:val="Style_7_ch"/>
    <w:link w:val="Style_17"/>
    <w:rPr>
      <w:rFonts w:asciiTheme="majorAscii" w:hAnsiTheme="majorHAnsi"/>
      <w:b w:val="1"/>
      <w:color w:themeColor="accent1" w:val="4F81BD"/>
    </w:rPr>
  </w:style>
  <w:style w:styleId="Style_1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
    <w:link w:val="Style_18_ch"/>
    <w:pPr>
      <w:widowControl w:val="1"/>
      <w:spacing w:after="160" w:line="240" w:lineRule="exact"/>
      <w:ind/>
    </w:pPr>
    <w:rPr>
      <w:rFonts w:ascii="Verdana" w:hAnsi="Verdana"/>
    </w:rPr>
  </w:style>
  <w:style w:styleId="Style_1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7_ch"/>
    <w:link w:val="Style_18"/>
    <w:rPr>
      <w:rFonts w:ascii="Verdana" w:hAnsi="Verdana"/>
    </w:rPr>
  </w:style>
  <w:style w:styleId="Style_19" w:type="paragraph">
    <w:name w:val="Body Text Indent"/>
    <w:basedOn w:val="Style_7"/>
    <w:link w:val="Style_19_ch"/>
    <w:pPr>
      <w:widowControl w:val="1"/>
      <w:ind w:firstLine="0" w:left="113"/>
    </w:pPr>
    <w:rPr>
      <w:color w:val="000000"/>
      <w:sz w:val="22"/>
    </w:rPr>
  </w:style>
  <w:style w:styleId="Style_19_ch" w:type="character">
    <w:name w:val="Body Text Indent"/>
    <w:basedOn w:val="Style_7_ch"/>
    <w:link w:val="Style_19"/>
    <w:rPr>
      <w:color w:val="000000"/>
      <w:sz w:val="22"/>
    </w:rPr>
  </w:style>
  <w:style w:styleId="Style_20" w:type="paragraph">
    <w:name w:val="Знак"/>
    <w:basedOn w:val="Style_7"/>
    <w:link w:val="Style_20_ch"/>
    <w:pPr>
      <w:widowControl w:val="1"/>
      <w:spacing w:after="160" w:line="240" w:lineRule="exact"/>
      <w:ind/>
    </w:pPr>
    <w:rPr>
      <w:sz w:val="24"/>
    </w:rPr>
  </w:style>
  <w:style w:styleId="Style_20_ch" w:type="character">
    <w:name w:val="Знак"/>
    <w:basedOn w:val="Style_7_ch"/>
    <w:link w:val="Style_20"/>
    <w:rPr>
      <w:sz w:val="24"/>
    </w:rPr>
  </w:style>
  <w:style w:styleId="Style_21" w:type="paragraph">
    <w:name w:val="Знак"/>
    <w:basedOn w:val="Style_7"/>
    <w:link w:val="Style_21_ch"/>
    <w:pPr>
      <w:widowControl w:val="1"/>
      <w:spacing w:after="160" w:line="240" w:lineRule="exact"/>
      <w:ind/>
    </w:pPr>
    <w:rPr>
      <w:sz w:val="24"/>
    </w:rPr>
  </w:style>
  <w:style w:styleId="Style_21_ch" w:type="character">
    <w:name w:val="Знак"/>
    <w:basedOn w:val="Style_7_ch"/>
    <w:link w:val="Style_21"/>
    <w:rPr>
      <w:sz w:val="24"/>
    </w:rPr>
  </w:style>
  <w:style w:styleId="Style_22" w:type="paragraph">
    <w:name w:val="Знак"/>
    <w:basedOn w:val="Style_7"/>
    <w:link w:val="Style_22_ch"/>
    <w:pPr>
      <w:widowControl w:val="1"/>
      <w:spacing w:after="160" w:line="240" w:lineRule="exact"/>
      <w:ind/>
    </w:pPr>
    <w:rPr>
      <w:sz w:val="24"/>
    </w:rPr>
  </w:style>
  <w:style w:styleId="Style_22_ch" w:type="character">
    <w:name w:val="Знак"/>
    <w:basedOn w:val="Style_7_ch"/>
    <w:link w:val="Style_22"/>
    <w:rPr>
      <w:sz w:val="24"/>
    </w:rPr>
  </w:style>
  <w:style w:styleId="Style_23" w:type="paragraph">
    <w:name w:val="toc 3"/>
    <w:next w:val="Style_7"/>
    <w:link w:val="Style_23_ch"/>
    <w:uiPriority w:val="39"/>
    <w:pPr>
      <w:widowControl w:val="1"/>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Знак"/>
    <w:basedOn w:val="Style_7"/>
    <w:link w:val="Style_24_ch"/>
    <w:pPr>
      <w:widowControl w:val="1"/>
      <w:spacing w:after="160" w:line="240" w:lineRule="exact"/>
      <w:ind/>
    </w:pPr>
    <w:rPr>
      <w:sz w:val="24"/>
    </w:rPr>
  </w:style>
  <w:style w:styleId="Style_24_ch" w:type="character">
    <w:name w:val="Знак"/>
    <w:basedOn w:val="Style_7_ch"/>
    <w:link w:val="Style_24"/>
    <w:rPr>
      <w:sz w:val="24"/>
    </w:rPr>
  </w:style>
  <w:style w:styleId="Style_25" w:type="paragraph">
    <w:name w:val="heading 5"/>
    <w:next w:val="Style_7"/>
    <w:link w:val="Style_25_ch"/>
    <w:uiPriority w:val="9"/>
    <w:qFormat/>
    <w:pPr>
      <w:widowControl w:val="1"/>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Знак Знак Знак"/>
    <w:basedOn w:val="Style_7"/>
    <w:link w:val="Style_26_ch"/>
    <w:pPr>
      <w:widowControl w:val="1"/>
      <w:spacing w:after="160" w:line="240" w:lineRule="exact"/>
      <w:ind/>
    </w:pPr>
    <w:rPr>
      <w:sz w:val="24"/>
    </w:rPr>
  </w:style>
  <w:style w:styleId="Style_26_ch" w:type="character">
    <w:name w:val="Знак Знак Знак"/>
    <w:basedOn w:val="Style_7_ch"/>
    <w:link w:val="Style_26"/>
    <w:rPr>
      <w:sz w:val="24"/>
    </w:rPr>
  </w:style>
  <w:style w:styleId="Style_27" w:type="paragraph">
    <w:name w:val="annotation text"/>
    <w:basedOn w:val="Style_7"/>
    <w:link w:val="Style_27_ch"/>
  </w:style>
  <w:style w:styleId="Style_27_ch" w:type="character">
    <w:name w:val="annotation text"/>
    <w:basedOn w:val="Style_7_ch"/>
    <w:link w:val="Style_27"/>
  </w:style>
  <w:style w:styleId="Style_28" w:type="paragraph">
    <w:name w:val="heading 1"/>
    <w:basedOn w:val="Style_7"/>
    <w:next w:val="Style_7"/>
    <w:link w:val="Style_28_ch"/>
    <w:uiPriority w:val="9"/>
    <w:qFormat/>
    <w:pPr>
      <w:keepNext w:val="1"/>
      <w:widowControl w:val="1"/>
      <w:numPr>
        <w:numId w:val="2"/>
      </w:numPr>
      <w:spacing w:line="264" w:lineRule="auto"/>
      <w:ind/>
      <w:jc w:val="center"/>
      <w:outlineLvl w:val="0"/>
    </w:pPr>
    <w:rPr>
      <w:b w:val="1"/>
      <w:sz w:val="28"/>
    </w:rPr>
  </w:style>
  <w:style w:styleId="Style_28_ch" w:type="character">
    <w:name w:val="heading 1"/>
    <w:basedOn w:val="Style_7_ch"/>
    <w:link w:val="Style_28"/>
    <w:rPr>
      <w:b w:val="1"/>
      <w:sz w:val="28"/>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basedOn w:val="Style_7"/>
    <w:link w:val="Style_30_ch"/>
  </w:style>
  <w:style w:styleId="Style_30_ch" w:type="character">
    <w:name w:val="Footnote"/>
    <w:basedOn w:val="Style_7_ch"/>
    <w:link w:val="Style_30"/>
  </w:style>
  <w:style w:styleId="Style_31" w:type="paragraph">
    <w:name w:val="Balloon Text"/>
    <w:basedOn w:val="Style_7"/>
    <w:link w:val="Style_31_ch"/>
    <w:rPr>
      <w:rFonts w:ascii="Tahoma" w:hAnsi="Tahoma"/>
      <w:sz w:val="16"/>
    </w:rPr>
  </w:style>
  <w:style w:styleId="Style_31_ch" w:type="character">
    <w:name w:val="Balloon Text"/>
    <w:basedOn w:val="Style_7_ch"/>
    <w:link w:val="Style_31"/>
    <w:rPr>
      <w:rFonts w:ascii="Tahoma" w:hAnsi="Tahoma"/>
      <w:sz w:val="16"/>
    </w:rPr>
  </w:style>
  <w:style w:styleId="Style_1" w:type="paragraph">
    <w:name w:val="header"/>
    <w:basedOn w:val="Style_7"/>
    <w:link w:val="Style_1_ch"/>
    <w:pPr>
      <w:widowControl w:val="1"/>
      <w:tabs>
        <w:tab w:leader="none" w:pos="4153" w:val="center"/>
        <w:tab w:leader="none" w:pos="8306" w:val="right"/>
      </w:tabs>
      <w:ind/>
    </w:pPr>
  </w:style>
  <w:style w:styleId="Style_1_ch" w:type="character">
    <w:name w:val="header"/>
    <w:basedOn w:val="Style_7_ch"/>
    <w:link w:val="Style_1"/>
  </w:style>
  <w:style w:styleId="Style_4" w:type="paragraph">
    <w:name w:val="Body Text Indent 3"/>
    <w:basedOn w:val="Style_7"/>
    <w:link w:val="Style_4_ch"/>
    <w:pPr>
      <w:widowControl w:val="1"/>
      <w:spacing w:after="120"/>
      <w:ind w:firstLine="720" w:left="0"/>
      <w:jc w:val="both"/>
    </w:pPr>
    <w:rPr>
      <w:b w:val="1"/>
      <w:sz w:val="28"/>
    </w:rPr>
  </w:style>
  <w:style w:styleId="Style_4_ch" w:type="character">
    <w:name w:val="Body Text Indent 3"/>
    <w:basedOn w:val="Style_7_ch"/>
    <w:link w:val="Style_4"/>
    <w:rPr>
      <w:b w:val="1"/>
      <w:sz w:val="28"/>
    </w:rPr>
  </w:style>
  <w:style w:styleId="Style_32" w:type="paragraph">
    <w:name w:val="toc 1"/>
    <w:next w:val="Style_7"/>
    <w:link w:val="Style_32_ch"/>
    <w:uiPriority w:val="39"/>
    <w:pPr>
      <w:widowControl w:val="1"/>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1"/>
      <w:spacing w:line="240" w:lineRule="auto"/>
      <w:ind/>
      <w:jc w:val="both"/>
    </w:pPr>
    <w:rPr>
      <w:rFonts w:ascii="XO Thames" w:hAnsi="XO Thames"/>
      <w:sz w:val="20"/>
    </w:rPr>
  </w:style>
  <w:style w:styleId="Style_33_ch" w:type="character">
    <w:name w:val="Header and Footer"/>
    <w:link w:val="Style_33"/>
    <w:rPr>
      <w:rFonts w:ascii="XO Thames" w:hAnsi="XO Thames"/>
      <w:sz w:val="20"/>
    </w:rPr>
  </w:style>
  <w:style w:styleId="Style_34" w:type="paragraph">
    <w:name w:val="Знак"/>
    <w:basedOn w:val="Style_7"/>
    <w:link w:val="Style_34_ch"/>
    <w:pPr>
      <w:widowControl w:val="1"/>
      <w:spacing w:after="160" w:line="240" w:lineRule="exact"/>
      <w:ind/>
    </w:pPr>
    <w:rPr>
      <w:sz w:val="24"/>
    </w:rPr>
  </w:style>
  <w:style w:styleId="Style_34_ch" w:type="character">
    <w:name w:val="Знак"/>
    <w:basedOn w:val="Style_7_ch"/>
    <w:link w:val="Style_34"/>
    <w:rPr>
      <w:sz w:val="24"/>
    </w:rPr>
  </w:style>
  <w:style w:styleId="Style_35" w:type="paragraph">
    <w:name w:val="toc 9"/>
    <w:next w:val="Style_7"/>
    <w:link w:val="Style_35_ch"/>
    <w:uiPriority w:val="39"/>
    <w:pPr>
      <w:widowControl w:val="1"/>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36" w:type="paragraph">
    <w:name w:val="toc 8"/>
    <w:next w:val="Style_7"/>
    <w:link w:val="Style_36_ch"/>
    <w:uiPriority w:val="39"/>
    <w:pPr>
      <w:widowControl w:val="1"/>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4. Текст"/>
    <w:basedOn w:val="Style_27"/>
    <w:link w:val="Style_37_ch"/>
    <w:pPr>
      <w:keepNext w:val="1"/>
      <w:keepLines w:val="1"/>
      <w:widowControl w:val="0"/>
      <w:ind/>
      <w:jc w:val="both"/>
    </w:pPr>
    <w:rPr>
      <w:color w:val="000000"/>
      <w:spacing w:val="2"/>
      <w:sz w:val="28"/>
    </w:rPr>
  </w:style>
  <w:style w:styleId="Style_37_ch" w:type="character">
    <w:name w:val="4. Текст"/>
    <w:basedOn w:val="Style_27_ch"/>
    <w:link w:val="Style_37"/>
    <w:rPr>
      <w:color w:val="000000"/>
      <w:spacing w:val="2"/>
      <w:sz w:val="28"/>
    </w:rPr>
  </w:style>
  <w:style w:styleId="Style_38" w:type="paragraph">
    <w:name w:val="toc 5"/>
    <w:next w:val="Style_7"/>
    <w:link w:val="Style_38_ch"/>
    <w:uiPriority w:val="39"/>
    <w:pPr>
      <w:widowControl w:val="1"/>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StGen0"/>
    <w:basedOn w:val="Style_7"/>
    <w:link w:val="Style_39_ch"/>
    <w:pPr>
      <w:widowControl w:val="1"/>
      <w:spacing w:after="160" w:line="240" w:lineRule="exact"/>
      <w:ind/>
    </w:pPr>
    <w:rPr>
      <w:sz w:val="24"/>
    </w:rPr>
  </w:style>
  <w:style w:styleId="Style_39_ch" w:type="character">
    <w:name w:val="StGen0"/>
    <w:basedOn w:val="Style_7_ch"/>
    <w:link w:val="Style_39"/>
    <w:rPr>
      <w:sz w:val="24"/>
    </w:rPr>
  </w:style>
  <w:style w:styleId="Style_40" w:type="paragraph">
    <w:name w:val="Font Style13"/>
    <w:basedOn w:val="Style_14"/>
    <w:link w:val="Style_40_ch"/>
    <w:rPr>
      <w:rFonts w:ascii="Times New Roman" w:hAnsi="Times New Roman"/>
    </w:rPr>
  </w:style>
  <w:style w:styleId="Style_40_ch" w:type="character">
    <w:name w:val="Font Style13"/>
    <w:basedOn w:val="Style_14_ch"/>
    <w:link w:val="Style_40"/>
    <w:rPr>
      <w:rFonts w:ascii="Times New Roman" w:hAnsi="Times New Roman"/>
    </w:rPr>
  </w:style>
  <w:style w:styleId="Style_41" w:type="paragraph">
    <w:name w:val="Subtitle"/>
    <w:next w:val="Style_7"/>
    <w:link w:val="Style_41_ch"/>
    <w:uiPriority w:val="11"/>
    <w:qFormat/>
    <w:pPr>
      <w:widowControl w:val="1"/>
      <w:ind/>
      <w:jc w:val="both"/>
    </w:pPr>
    <w:rPr>
      <w:rFonts w:ascii="XO Thames" w:hAnsi="XO Thames"/>
      <w:i w:val="1"/>
      <w:sz w:val="24"/>
    </w:rPr>
  </w:style>
  <w:style w:styleId="Style_41_ch" w:type="character">
    <w:name w:val="Subtitle"/>
    <w:link w:val="Style_41"/>
    <w:rPr>
      <w:rFonts w:ascii="XO Thames" w:hAnsi="XO Thames"/>
      <w:i w:val="1"/>
      <w:sz w:val="24"/>
    </w:rPr>
  </w:style>
  <w:style w:styleId="Style_42" w:type="paragraph">
    <w:name w:val="Title"/>
    <w:basedOn w:val="Style_7"/>
    <w:link w:val="Style_42_ch"/>
    <w:uiPriority w:val="10"/>
    <w:qFormat/>
    <w:pPr>
      <w:widowControl w:val="1"/>
      <w:spacing w:line="288" w:lineRule="auto"/>
      <w:ind w:firstLine="4962" w:left="0"/>
      <w:jc w:val="center"/>
    </w:pPr>
    <w:rPr>
      <w:sz w:val="24"/>
    </w:rPr>
  </w:style>
  <w:style w:styleId="Style_42_ch" w:type="character">
    <w:name w:val="Title"/>
    <w:basedOn w:val="Style_7_ch"/>
    <w:link w:val="Style_42"/>
    <w:rPr>
      <w:sz w:val="24"/>
    </w:rPr>
  </w:style>
  <w:style w:styleId="Style_43" w:type="paragraph">
    <w:name w:val="heading 4"/>
    <w:basedOn w:val="Style_7"/>
    <w:next w:val="Style_7"/>
    <w:link w:val="Style_43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43_ch" w:type="character">
    <w:name w:val="heading 4"/>
    <w:basedOn w:val="Style_7_ch"/>
    <w:link w:val="Style_43"/>
    <w:rPr>
      <w:rFonts w:asciiTheme="majorAscii" w:hAnsiTheme="majorHAnsi"/>
      <w:b w:val="1"/>
      <w:i w:val="1"/>
      <w:color w:themeColor="accent1" w:val="4F81BD"/>
    </w:rPr>
  </w:style>
  <w:style w:styleId="Style_44" w:type="paragraph">
    <w:name w:val="Body Text"/>
    <w:basedOn w:val="Style_7"/>
    <w:link w:val="Style_44_ch"/>
    <w:pPr>
      <w:widowControl w:val="1"/>
      <w:ind/>
      <w:jc w:val="both"/>
    </w:pPr>
    <w:rPr>
      <w:sz w:val="24"/>
    </w:rPr>
  </w:style>
  <w:style w:styleId="Style_44_ch" w:type="character">
    <w:name w:val="Body Text"/>
    <w:basedOn w:val="Style_7_ch"/>
    <w:link w:val="Style_44"/>
    <w:rPr>
      <w:sz w:val="24"/>
    </w:rPr>
  </w:style>
  <w:style w:styleId="Style_45" w:type="paragraph">
    <w:name w:val="heading 2"/>
    <w:basedOn w:val="Style_7"/>
    <w:next w:val="Style_7"/>
    <w:link w:val="Style_45_ch"/>
    <w:uiPriority w:val="9"/>
    <w:qFormat/>
    <w:pPr>
      <w:keepNext w:val="1"/>
      <w:widowControl w:val="1"/>
      <w:numPr>
        <w:numId w:val="3"/>
      </w:numPr>
      <w:spacing w:line="264" w:lineRule="auto"/>
      <w:ind/>
      <w:jc w:val="center"/>
      <w:outlineLvl w:val="1"/>
    </w:pPr>
    <w:rPr>
      <w:b w:val="1"/>
      <w:sz w:val="28"/>
    </w:rPr>
  </w:style>
  <w:style w:styleId="Style_45_ch" w:type="character">
    <w:name w:val="heading 2"/>
    <w:basedOn w:val="Style_7_ch"/>
    <w:link w:val="Style_45"/>
    <w:rPr>
      <w:b w:val="1"/>
      <w:sz w:val="28"/>
    </w:rPr>
  </w:style>
  <w:style w:styleId="Style_46" w:type="paragraph">
    <w:name w:val="Знак"/>
    <w:basedOn w:val="Style_7"/>
    <w:link w:val="Style_46_ch"/>
    <w:pPr>
      <w:widowControl w:val="1"/>
      <w:spacing w:after="160" w:line="240" w:lineRule="exact"/>
      <w:ind/>
    </w:pPr>
    <w:rPr>
      <w:sz w:val="24"/>
    </w:rPr>
  </w:style>
  <w:style w:styleId="Style_46_ch" w:type="character">
    <w:name w:val="Знак"/>
    <w:basedOn w:val="Style_7_ch"/>
    <w:link w:val="Style_46"/>
    <w:rPr>
      <w:sz w:val="24"/>
    </w:rPr>
  </w:style>
  <w:style w:styleId="Style_47" w:type="paragraph">
    <w:name w:val="Body Text 2"/>
    <w:basedOn w:val="Style_7"/>
    <w:link w:val="Style_47_ch"/>
    <w:pPr>
      <w:widowControl w:val="1"/>
      <w:tabs>
        <w:tab w:leader="none" w:pos="284" w:val="left"/>
      </w:tabs>
      <w:ind w:hanging="284" w:left="284"/>
      <w:jc w:val="both"/>
    </w:pPr>
    <w:rPr>
      <w:sz w:val="24"/>
    </w:rPr>
  </w:style>
  <w:style w:styleId="Style_47_ch" w:type="character">
    <w:name w:val="Body Text 2"/>
    <w:basedOn w:val="Style_7_ch"/>
    <w:link w:val="Style_47"/>
    <w:rPr>
      <w:sz w:val="24"/>
    </w:rPr>
  </w:style>
  <w:style w:styleId="Style_5" w:type="paragraph">
    <w:name w:val="Body Text Indent 2"/>
    <w:basedOn w:val="Style_7"/>
    <w:link w:val="Style_5_ch"/>
    <w:pPr>
      <w:widowControl w:val="1"/>
      <w:ind w:firstLine="720" w:left="0"/>
      <w:jc w:val="both"/>
    </w:pPr>
    <w:rPr>
      <w:sz w:val="24"/>
    </w:rPr>
  </w:style>
  <w:style w:styleId="Style_5_ch" w:type="character">
    <w:name w:val="Body Text Indent 2"/>
    <w:basedOn w:val="Style_7_ch"/>
    <w:link w:val="Style_5"/>
    <w:rPr>
      <w:sz w:val="24"/>
    </w:rPr>
  </w:style>
  <w:style w:styleId="Style_48" w:type="table">
    <w:name w:val="Table Grid"/>
    <w:basedOn w:val="Style_6"/>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2023-12-13T12:00:40Z</dcterms:created>
  <dcterms:modified xsi:type="dcterms:W3CDTF">2026-04-29T08:07:04Z</dcterms:modified>
</cp:coreProperties>
</file>