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jc w:val="center"/>
        <w:rPr>
          <w:sz w:val="24"/>
          <w:szCs w:val="24"/>
        </w:rPr>
      </w:pPr>
      <w:r>
        <w:rPr>
          <w:b/>
          <w:bCs/>
          <w:sz w:val="24"/>
          <w:szCs w:val="24"/>
        </w:rPr>
        <w:t>Нежилое встроенное  помещение I в лит. А1</w:t>
      </w:r>
      <w:r>
        <w:rPr>
          <w:b/>
          <w:bCs/>
          <w:sz w:val="24"/>
          <w:szCs w:val="24"/>
        </w:rPr>
        <w:t xml:space="preserve"> </w:t>
      </w:r>
      <w:r>
        <w:rPr>
          <w:b/>
          <w:bCs/>
          <w:i w:val="false"/>
          <w:iCs w:val="false"/>
          <w:sz w:val="24"/>
          <w:szCs w:val="24"/>
        </w:rPr>
        <w:t xml:space="preserve"> - </w:t>
      </w:r>
      <w:r>
        <w:rPr>
          <w:b/>
          <w:bCs/>
          <w:i w:val="false"/>
          <w:iCs w:val="false"/>
          <w:sz w:val="24"/>
          <w:szCs w:val="24"/>
        </w:rPr>
        <w:t>Помещение</w:t>
      </w:r>
      <w:r>
        <w:rPr>
          <w:b/>
          <w:bCs/>
          <w:i w:val="false"/>
          <w:iCs w:val="false"/>
          <w:strike w:val="false"/>
          <w:dstrike w:val="false"/>
          <w:sz w:val="24"/>
          <w:szCs w:val="24"/>
        </w:rPr>
        <w:t xml:space="preserve">  площадью 206  кв.м,  с </w:t>
      </w:r>
      <w:r>
        <w:rPr>
          <w:b/>
          <w:bCs/>
          <w:i w:val="false"/>
          <w:iCs w:val="false"/>
          <w:sz w:val="24"/>
          <w:szCs w:val="24"/>
        </w:rPr>
        <w:t>кадастровым номером   36:34:0301002:580</w:t>
      </w:r>
      <w:r>
        <w:rPr>
          <w:b/>
          <w:bCs/>
          <w:i w:val="false"/>
          <w:iCs w:val="false"/>
          <w:sz w:val="24"/>
          <w:szCs w:val="24"/>
        </w:rPr>
        <w:t xml:space="preserve">, по адресу: </w:t>
      </w:r>
      <w:r>
        <w:rPr>
          <w:b/>
          <w:bCs/>
          <w:i w:val="false"/>
          <w:iCs w:val="false"/>
          <w:strike w:val="false"/>
          <w:dstrike w:val="false"/>
          <w:sz w:val="24"/>
          <w:szCs w:val="24"/>
        </w:rPr>
        <w:t>Россия, Воронежская область, г. Воронеж, Ленинский проспект, д. 1</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2100003178000000040</w:t>
      </w:r>
      <w:r>
        <w:rPr>
          <w:b/>
          <w:i/>
          <w:sz w:val="28"/>
        </w:rPr>
        <w:t>1</w:t>
      </w:r>
    </w:p>
    <w:p>
      <w:pPr>
        <w:pStyle w:val="Normal"/>
        <w:rPr>
          <w:b/>
          <w:i/>
          <w:i/>
          <w:sz w:val="28"/>
          <w:lang w:val="en-US"/>
        </w:rPr>
      </w:pPr>
      <w:r>
        <w:rPr>
          <w:b/>
          <w:i/>
          <w:sz w:val="28"/>
        </w:rPr>
        <w:t xml:space="preserve">Сбербанк </w:t>
      </w:r>
      <w:bookmarkStart w:id="0" w:name="_GoBack"/>
      <w:bookmarkEnd w:id="0"/>
      <w:r>
        <w:rPr>
          <w:b/>
          <w:i/>
          <w:sz w:val="28"/>
          <w:lang w:val="en-US"/>
        </w:rPr>
        <w:t>SBR012-26052500</w:t>
      </w:r>
      <w:r>
        <w:rPr>
          <w:b/>
          <w:i/>
          <w:sz w:val="28"/>
          <w:lang w:val="en-US"/>
        </w:rPr>
        <w:t>71</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26.05.2026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15.06.2026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17.06.2026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19.06.2026 г. 11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rFonts w:cs="Droid Sans Devanagari"/>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Style28">
    <w:name w:val="Содержимое врезки"/>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user3">
    <w:name w:val="Содержимое врезки (user)"/>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Application>LibreOffice/24.8.7.2$Linux_X86_64 LibreOffice_project/480$Build-2</Application>
  <AppVersion>15.0000</AppVersion>
  <Pages>1</Pages>
  <Words>97</Words>
  <Characters>643</Characters>
  <CharactersWithSpaces>732</CharactersWithSpaces>
  <Paragraphs>17</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2026-06-05T09:22:12Z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