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12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 сообщение</w:t>
      </w:r>
    </w:p>
    <w:p w14:paraId="07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об итогах </w:t>
      </w:r>
      <w:r>
        <w:rPr>
          <w:rFonts w:ascii="XO Thames" w:hAnsi="XO Thames"/>
          <w:b w:val="1"/>
          <w:sz w:val="24"/>
        </w:rPr>
        <w:t xml:space="preserve">проведения </w:t>
      </w:r>
      <w:r>
        <w:rPr>
          <w:rFonts w:ascii="XO Thames" w:hAnsi="XO Thames"/>
          <w:b w:val="1"/>
          <w:sz w:val="24"/>
        </w:rPr>
        <w:t>конкурс</w:t>
      </w:r>
      <w:r>
        <w:rPr>
          <w:rFonts w:ascii="XO Thames" w:hAnsi="XO Thames"/>
          <w:b w:val="1"/>
          <w:sz w:val="24"/>
        </w:rPr>
        <w:t>а по п</w:t>
      </w:r>
      <w:r>
        <w:rPr>
          <w:rFonts w:ascii="XO Thames" w:hAnsi="XO Thames"/>
          <w:b w:val="1"/>
          <w:sz w:val="24"/>
        </w:rPr>
        <w:t>рода</w:t>
      </w:r>
      <w:r>
        <w:rPr>
          <w:rFonts w:ascii="XO Thames" w:hAnsi="XO Thames"/>
          <w:b w:val="1"/>
          <w:sz w:val="24"/>
        </w:rPr>
        <w:t xml:space="preserve">же </w:t>
      </w:r>
      <w:r>
        <w:rPr>
          <w:rFonts w:ascii="XO Thames" w:hAnsi="XO Thames"/>
          <w:b w:val="1"/>
          <w:sz w:val="24"/>
        </w:rPr>
        <w:t xml:space="preserve">объекта культурного наследия - здание этапной тюрьмы, где </w:t>
      </w:r>
      <w:r>
        <w:rPr>
          <w:rFonts w:ascii="XO Thames" w:hAnsi="XO Thames"/>
          <w:b w:val="1"/>
          <w:sz w:val="24"/>
        </w:rPr>
        <w:t>содержались во время следования в сибирскую ссылку многие декабристы,</w:t>
      </w:r>
      <w:r>
        <w:rPr>
          <w:rFonts w:ascii="XO Thames" w:hAnsi="XO Thames"/>
          <w:b w:val="1"/>
          <w:sz w:val="24"/>
        </w:rPr>
        <w:t xml:space="preserve"> общей площадью 361,2 кв.м. с кадастровым номером 18:09:029006:406, расположенного по адресу: Удмуртская </w:t>
      </w:r>
      <w:r>
        <w:rPr>
          <w:rFonts w:ascii="XO Thames" w:hAnsi="XO Thames"/>
          <w:b w:val="1"/>
          <w:sz w:val="24"/>
        </w:rPr>
        <w:t xml:space="preserve">Республика, Игринский район, </w:t>
      </w:r>
      <w:r>
        <w:rPr>
          <w:rFonts w:ascii="XO Thames" w:hAnsi="XO Thames"/>
          <w:b w:val="1"/>
          <w:sz w:val="24"/>
        </w:rPr>
        <w:t xml:space="preserve">с. Зура, </w:t>
      </w:r>
      <w:r>
        <w:br/>
      </w:r>
      <w:r>
        <w:rPr>
          <w:rFonts w:ascii="XO Thames" w:hAnsi="XO Thames"/>
          <w:b w:val="1"/>
          <w:sz w:val="24"/>
        </w:rPr>
        <w:t>ул. Пролетарская, д. 20</w:t>
      </w:r>
      <w:r>
        <w:rPr>
          <w:b w:val="1"/>
          <w:color w:val="000000"/>
          <w:sz w:val="24"/>
        </w:rPr>
        <w:t xml:space="preserve">, </w:t>
      </w:r>
      <w:r>
        <w:rPr>
          <w:b w:val="1"/>
          <w:color w:val="000000"/>
          <w:sz w:val="24"/>
        </w:rPr>
        <w:t>в электронной форме</w:t>
      </w:r>
    </w:p>
    <w:p w14:paraId="08000000">
      <w:pPr>
        <w:tabs>
          <w:tab w:leader="none" w:pos="851" w:val="left"/>
        </w:tabs>
        <w:ind w:firstLine="720" w:left="0"/>
        <w:jc w:val="center"/>
        <w:rPr>
          <w:b w:val="1"/>
          <w:sz w:val="24"/>
        </w:rPr>
      </w:pPr>
    </w:p>
    <w:p w14:paraId="09000000">
      <w:pPr>
        <w:tabs>
          <w:tab w:leader="none" w:pos="851" w:val="left"/>
        </w:tabs>
        <w:ind w:firstLine="720" w:left="0"/>
        <w:rPr>
          <w:sz w:val="24"/>
          <w:highlight w:val="yellow"/>
        </w:rPr>
      </w:pPr>
      <w:r>
        <w:rPr>
          <w:rFonts w:ascii="XO Thames" w:hAnsi="XO Thames"/>
          <w:sz w:val="24"/>
        </w:rPr>
        <w:t>16 апреля</w:t>
      </w:r>
      <w:r>
        <w:rPr>
          <w:rFonts w:ascii="XO Thames" w:hAnsi="XO Thames"/>
          <w:sz w:val="24"/>
        </w:rPr>
        <w:t xml:space="preserve"> 2026</w:t>
      </w:r>
      <w:r>
        <w:rPr>
          <w:sz w:val="24"/>
        </w:rPr>
        <w:t xml:space="preserve"> г</w:t>
      </w:r>
      <w:r>
        <w:rPr>
          <w:sz w:val="24"/>
        </w:rPr>
        <w:t>.</w:t>
      </w:r>
    </w:p>
    <w:p w14:paraId="0A000000">
      <w:pPr>
        <w:ind w:firstLine="720" w:left="0"/>
        <w:rPr>
          <w:sz w:val="24"/>
          <w:highlight w:val="yellow"/>
        </w:rPr>
      </w:pPr>
    </w:p>
    <w:p w14:paraId="0B000000">
      <w:pPr>
        <w:spacing w:after="0"/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Основание проведения торгов</w:t>
      </w:r>
      <w:r>
        <w:rPr>
          <w:b w:val="1"/>
          <w:sz w:val="24"/>
        </w:rPr>
        <w:t xml:space="preserve"> – </w:t>
      </w:r>
      <w:r>
        <w:rPr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sz w:val="24"/>
        </w:rPr>
        <w:t>1</w:t>
      </w:r>
      <w:r>
        <w:rPr>
          <w:rFonts w:ascii="XO Thames" w:hAnsi="XO Thames"/>
          <w:color w:themeColor="text1" w:val="000000"/>
          <w:sz w:val="24"/>
        </w:rPr>
        <w:t>16.03.2026</w:t>
      </w:r>
      <w:r>
        <w:rPr>
          <w:rFonts w:ascii="XO Thames" w:hAnsi="XO Thames"/>
          <w:color w:themeColor="text1" w:val="000000"/>
          <w:sz w:val="24"/>
        </w:rPr>
        <w:t xml:space="preserve"> г.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sz w:val="24"/>
        </w:rPr>
        <w:t>№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18</w:t>
      </w:r>
      <w:r>
        <w:rPr>
          <w:rFonts w:ascii="XO Thames" w:hAnsi="XO Thames"/>
          <w:color w:themeColor="text1" w:val="000000"/>
          <w:sz w:val="24"/>
        </w:rPr>
        <w:t>-193</w:t>
      </w:r>
      <w:r>
        <w:rPr>
          <w:rFonts w:ascii="XO Thames" w:hAnsi="XO Thames"/>
          <w:color w:themeColor="text1" w:val="000000"/>
          <w:sz w:val="24"/>
        </w:rPr>
        <w:t>-</w:t>
      </w:r>
      <w:r>
        <w:rPr>
          <w:rFonts w:ascii="XO Thames" w:hAnsi="XO Thames"/>
          <w:sz w:val="24"/>
        </w:rPr>
        <w:t>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«</w:t>
      </w:r>
      <w:r>
        <w:rPr>
          <w:rFonts w:ascii="XO Thames" w:hAnsi="XO Thames"/>
          <w:color w:themeColor="text1" w:val="000000"/>
          <w:sz w:val="24"/>
        </w:rPr>
        <w:t xml:space="preserve">Об условиях приватизации </w:t>
      </w:r>
      <w:r>
        <w:rPr>
          <w:rFonts w:ascii="XO Thames" w:hAnsi="XO Thames"/>
          <w:color w:themeColor="text1" w:val="000000"/>
          <w:sz w:val="24"/>
        </w:rPr>
        <w:t xml:space="preserve">объекта культурного наследия – </w:t>
      </w:r>
      <w:r>
        <w:rPr>
          <w:rFonts w:ascii="XO Thames" w:hAnsi="XO Thames"/>
          <w:b w:val="0"/>
          <w:sz w:val="24"/>
        </w:rPr>
        <w:t xml:space="preserve">здание этапной тюрьмы, </w:t>
      </w:r>
      <w:r>
        <w:rPr>
          <w:rFonts w:ascii="XO Thames" w:hAnsi="XO Thames"/>
          <w:sz w:val="24"/>
        </w:rPr>
        <w:t xml:space="preserve">где </w:t>
      </w:r>
      <w:r>
        <w:rPr>
          <w:rFonts w:ascii="XO Thames" w:hAnsi="XO Thames"/>
          <w:sz w:val="24"/>
        </w:rPr>
        <w:t>содержались во время следования в сибирскую ссылку многие декабристы,</w:t>
      </w:r>
      <w:r>
        <w:rPr>
          <w:rFonts w:ascii="XO Thames" w:hAnsi="XO Thames"/>
          <w:b w:val="0"/>
          <w:sz w:val="24"/>
        </w:rPr>
        <w:t xml:space="preserve"> обще</w:t>
      </w:r>
      <w:r>
        <w:rPr>
          <w:rFonts w:ascii="XO Thames" w:hAnsi="XO Thames"/>
          <w:b w:val="0"/>
          <w:sz w:val="24"/>
        </w:rPr>
        <w:t xml:space="preserve">й площадью 361,2 кв.м. с кадастровым номером 18:09:029006:406, расположенного по адресу: Удмуртская </w:t>
      </w:r>
      <w:r>
        <w:rPr>
          <w:rFonts w:ascii="XO Thames" w:hAnsi="XO Thames"/>
          <w:b w:val="0"/>
          <w:sz w:val="24"/>
        </w:rPr>
        <w:t xml:space="preserve">Республика, Игринский район, </w:t>
      </w:r>
      <w:r>
        <w:rPr>
          <w:rFonts w:ascii="XO Thames" w:hAnsi="XO Thames"/>
          <w:b w:val="0"/>
          <w:sz w:val="24"/>
        </w:rPr>
        <w:t xml:space="preserve">с. Зура, ул. Пролетарская, д. 20 (реестровый номер </w:t>
      </w:r>
      <w:r>
        <w:rPr>
          <w:rFonts w:ascii="XO Thames" w:hAnsi="XO Thames"/>
          <w:sz w:val="24"/>
        </w:rPr>
        <w:t>181510269960006</w:t>
      </w:r>
      <w:r>
        <w:rPr>
          <w:rFonts w:ascii="XO Thames" w:hAnsi="XO Thames"/>
          <w:sz w:val="24"/>
        </w:rPr>
        <w:t>)</w:t>
      </w:r>
      <w:r>
        <w:rPr>
          <w:sz w:val="24"/>
        </w:rPr>
        <w:t>».</w:t>
      </w:r>
    </w:p>
    <w:p w14:paraId="0C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Организатор торгов</w:t>
      </w:r>
      <w:r>
        <w:rPr>
          <w:sz w:val="24"/>
        </w:rPr>
        <w:t xml:space="preserve"> 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Общество с ограниченной ответственностью «РТС-тендер» </w:t>
      </w:r>
      <w:r>
        <w:rPr>
          <w:sz w:val="24"/>
        </w:rPr>
        <w:t xml:space="preserve">(ООО </w:t>
      </w:r>
      <w:r>
        <w:rPr>
          <w:sz w:val="24"/>
        </w:rPr>
        <w:t>«</w:t>
      </w:r>
      <w:r>
        <w:rPr>
          <w:sz w:val="24"/>
        </w:rPr>
        <w:t>РТС-ТЕНДЕР</w:t>
      </w:r>
      <w:r>
        <w:rPr>
          <w:sz w:val="24"/>
        </w:rPr>
        <w:t>»</w:t>
      </w:r>
      <w:r>
        <w:rPr>
          <w:sz w:val="24"/>
        </w:rPr>
        <w:t>).</w:t>
      </w:r>
    </w:p>
    <w:p w14:paraId="0D000000">
      <w:pPr>
        <w:pStyle w:val="Style_5"/>
        <w:tabs>
          <w:tab w:leader="none" w:pos="0" w:val="left"/>
        </w:tabs>
        <w:spacing w:after="0" w:line="240" w:lineRule="auto"/>
        <w:ind w:firstLine="720" w:left="0"/>
        <w:rPr>
          <w:sz w:val="24"/>
        </w:rPr>
      </w:pPr>
      <w:r>
        <w:rPr>
          <w:b w:val="1"/>
          <w:sz w:val="24"/>
        </w:rPr>
        <w:t>Продавец:</w:t>
      </w:r>
      <w:r>
        <w:rPr>
          <w:sz w:val="24"/>
        </w:rPr>
        <w:t xml:space="preserve"> </w:t>
      </w:r>
      <w:r>
        <w:rPr>
          <w:sz w:val="24"/>
        </w:rPr>
        <w:t>МТУ Росимущества</w:t>
      </w:r>
      <w:r>
        <w:rPr>
          <w:sz w:val="24"/>
        </w:rPr>
        <w:t xml:space="preserve"> в Удмуртской Республике и Кировской области</w:t>
      </w:r>
      <w:r>
        <w:rPr>
          <w:sz w:val="24"/>
        </w:rPr>
        <w:t>.</w:t>
      </w:r>
    </w:p>
    <w:p w14:paraId="0E000000">
      <w:pPr>
        <w:pStyle w:val="Style_6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Форма продажи (способ приватизации) –</w:t>
      </w:r>
      <w:r>
        <w:rPr>
          <w:sz w:val="24"/>
        </w:rPr>
        <w:t xml:space="preserve"> Конкурс</w:t>
      </w:r>
      <w:r>
        <w:rPr>
          <w:sz w:val="24"/>
        </w:rPr>
        <w:t xml:space="preserve"> в электронной форме, открытый по составу участников и по форме подачи предложений о цене имущества.</w:t>
      </w:r>
    </w:p>
    <w:p w14:paraId="0F000000">
      <w:pPr>
        <w:pStyle w:val="Style_6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Сведения об Имуществе</w:t>
      </w:r>
      <w:r>
        <w:rPr>
          <w:b w:val="1"/>
          <w:sz w:val="24"/>
        </w:rPr>
        <w:t xml:space="preserve"> (лоте), выставляемом на торги</w:t>
      </w:r>
      <w:r>
        <w:rPr>
          <w:b w:val="1"/>
          <w:sz w:val="24"/>
        </w:rPr>
        <w:t xml:space="preserve"> в электронной форме: </w:t>
      </w:r>
    </w:p>
    <w:p w14:paraId="10000000">
      <w:pPr>
        <w:pStyle w:val="Style_6"/>
        <w:tabs>
          <w:tab w:leader="none" w:pos="709" w:val="left"/>
        </w:tabs>
        <w:spacing w:after="0" w:line="240" w:lineRule="auto"/>
        <w:ind/>
        <w:jc w:val="both"/>
        <w:rPr>
          <w:b w:val="1"/>
          <w:sz w:val="24"/>
        </w:rPr>
      </w:pPr>
      <w:r>
        <w:rPr>
          <w:sz w:val="24"/>
        </w:rPr>
        <w:tab/>
      </w:r>
      <w:r>
        <w:rPr>
          <w:rFonts w:ascii="XO Thames" w:hAnsi="XO Thames"/>
          <w:b w:val="0"/>
          <w:sz w:val="24"/>
        </w:rPr>
        <w:t>Здание этапной тюрьмы обще</w:t>
      </w:r>
      <w:r>
        <w:rPr>
          <w:rFonts w:ascii="XO Thames" w:hAnsi="XO Thames"/>
          <w:b w:val="0"/>
          <w:sz w:val="24"/>
        </w:rPr>
        <w:t xml:space="preserve">й площадью 361,2 кв.м. с кадастровым номером 18:09:029006:406, расположенного по адресу: Удмуртская </w:t>
      </w:r>
      <w:r>
        <w:rPr>
          <w:rFonts w:ascii="XO Thames" w:hAnsi="XO Thames"/>
          <w:b w:val="0"/>
          <w:sz w:val="24"/>
        </w:rPr>
        <w:t xml:space="preserve">Республика, Игринский район, </w:t>
      </w:r>
      <w:r>
        <w:rPr>
          <w:rFonts w:ascii="XO Thames" w:hAnsi="XO Thames"/>
          <w:b w:val="0"/>
          <w:sz w:val="24"/>
        </w:rPr>
        <w:t>с. Зура, ул. Пролетарская, д. 20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(объект культурного наследия - </w:t>
      </w:r>
      <w:r>
        <w:rPr>
          <w:rFonts w:ascii="XO Thames" w:hAnsi="XO Thames"/>
          <w:sz w:val="24"/>
        </w:rPr>
        <w:t xml:space="preserve">«Здание этапной тюрьмы, где </w:t>
      </w:r>
      <w:r>
        <w:rPr>
          <w:rFonts w:ascii="XO Thames" w:hAnsi="XO Thames"/>
          <w:sz w:val="24"/>
        </w:rPr>
        <w:t>содержались во время следования в сибирскую ссылку многие декабристы»,</w:t>
      </w:r>
      <w:r>
        <w:rPr>
          <w:rFonts w:ascii="XO Thames" w:hAnsi="XO Thames"/>
          <w:sz w:val="24"/>
        </w:rPr>
        <w:t xml:space="preserve"> регистрационный номер </w:t>
      </w:r>
      <w:r>
        <w:rPr>
          <w:rFonts w:ascii="XO Thames" w:hAnsi="XO Thames"/>
          <w:sz w:val="24"/>
        </w:rPr>
        <w:t>181510269960006</w:t>
      </w:r>
      <w:r>
        <w:rPr>
          <w:rFonts w:ascii="XO Thames" w:hAnsi="XO Thames"/>
          <w:sz w:val="24"/>
        </w:rPr>
        <w:t>)</w:t>
      </w:r>
      <w:r>
        <w:rPr>
          <w:color w:val="000000"/>
          <w:sz w:val="24"/>
        </w:rPr>
        <w:t>.</w:t>
      </w:r>
    </w:p>
    <w:p w14:paraId="11000000">
      <w:pPr>
        <w:pStyle w:val="Style_6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начала подачи (приема) Заявок:</w:t>
      </w:r>
      <w:r>
        <w:rPr>
          <w:sz w:val="24"/>
        </w:rPr>
        <w:t xml:space="preserve"> </w:t>
      </w:r>
      <w:r>
        <w:rPr>
          <w:color w:val="000000"/>
          <w:sz w:val="24"/>
        </w:rPr>
        <w:t>с 16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марта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 xml:space="preserve">:00 </w:t>
      </w:r>
      <w:r>
        <w:rPr>
          <w:sz w:val="24"/>
        </w:rPr>
        <w:t xml:space="preserve">                                           по московскому времени.</w:t>
      </w:r>
    </w:p>
    <w:p w14:paraId="12000000">
      <w:pPr>
        <w:pStyle w:val="Style_6"/>
        <w:spacing w:after="0" w:line="240" w:lineRule="auto"/>
        <w:ind w:firstLine="720" w:left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Подача Заявок осуществляется круглосуточно.</w:t>
      </w:r>
    </w:p>
    <w:p w14:paraId="13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окончания подачи (приема) Заявок</w:t>
      </w:r>
      <w:r>
        <w:rPr>
          <w:b w:val="1"/>
          <w:sz w:val="24"/>
        </w:rPr>
        <w:t xml:space="preserve">: </w:t>
      </w:r>
      <w:r>
        <w:rPr>
          <w:color w:val="000000"/>
          <w:sz w:val="24"/>
        </w:rPr>
        <w:t>13 апреля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18</w:t>
      </w:r>
      <w:r>
        <w:rPr>
          <w:color w:val="000000"/>
          <w:sz w:val="24"/>
        </w:rPr>
        <w:t>:00</w:t>
      </w:r>
      <w:r>
        <w:rPr>
          <w:color w:val="000000"/>
          <w:sz w:val="24"/>
        </w:rPr>
        <w:t xml:space="preserve"> </w:t>
      </w:r>
      <w:r>
        <w:rPr>
          <w:sz w:val="24"/>
        </w:rPr>
        <w:t>по московскому времени</w:t>
      </w:r>
      <w:r>
        <w:rPr>
          <w:color w:val="000000"/>
          <w:sz w:val="24"/>
        </w:rPr>
        <w:t>.</w:t>
      </w:r>
    </w:p>
    <w:p w14:paraId="14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определения Участников:</w:t>
      </w:r>
      <w:r>
        <w:rPr>
          <w:sz w:val="24"/>
        </w:rPr>
        <w:t xml:space="preserve"> </w:t>
      </w:r>
      <w:r>
        <w:rPr>
          <w:sz w:val="24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</w:t>
      </w:r>
    </w:p>
    <w:p w14:paraId="15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Дата, время и срок проведения Конкурса:</w:t>
      </w:r>
      <w:r>
        <w:rPr>
          <w:sz w:val="24"/>
        </w:rPr>
        <w:t xml:space="preserve"> </w:t>
      </w:r>
      <w:r>
        <w:rPr>
          <w:sz w:val="24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с 10:00 по московскому времени и до последнего предложения участников.</w:t>
      </w:r>
    </w:p>
    <w:p w14:paraId="16000000">
      <w:pPr>
        <w:spacing w:after="0"/>
        <w:ind w:firstLine="720" w:left="0"/>
        <w:jc w:val="both"/>
        <w:rPr>
          <w:b w:val="1"/>
          <w:color w:val="000000"/>
          <w:sz w:val="24"/>
          <w:highlight w:val="white"/>
        </w:rPr>
      </w:pPr>
    </w:p>
    <w:p w14:paraId="17000000">
      <w:pPr>
        <w:spacing w:after="0"/>
        <w:ind w:firstLine="720" w:left="0"/>
        <w:jc w:val="both"/>
        <w:rPr>
          <w:color w:val="000000"/>
          <w:sz w:val="24"/>
          <w:highlight w:val="white"/>
        </w:rPr>
      </w:pPr>
      <w:r>
        <w:rPr>
          <w:b w:val="1"/>
          <w:color w:val="000000"/>
          <w:sz w:val="24"/>
          <w:highlight w:val="white"/>
        </w:rPr>
        <w:t>Конкурс признан несостоявшим</w:t>
      </w:r>
      <w:r>
        <w:rPr>
          <w:b w:val="1"/>
          <w:color w:val="000000"/>
          <w:sz w:val="24"/>
          <w:highlight w:val="white"/>
        </w:rPr>
        <w:t>ся</w:t>
      </w:r>
      <w:r>
        <w:rPr>
          <w:color w:val="000000"/>
          <w:sz w:val="24"/>
          <w:highlight w:val="white"/>
        </w:rPr>
        <w:t xml:space="preserve"> в связи с отсутствие</w:t>
      </w:r>
      <w:r>
        <w:rPr>
          <w:color w:val="000000"/>
          <w:sz w:val="24"/>
          <w:highlight w:val="white"/>
        </w:rPr>
        <w:t>м</w:t>
      </w:r>
      <w:r>
        <w:rPr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annotation text"/>
    <w:basedOn w:val="Style_7"/>
    <w:link w:val="Style_12_ch"/>
  </w:style>
  <w:style w:styleId="Style_12_ch" w:type="character">
    <w:name w:val="annotation text"/>
    <w:basedOn w:val="Style_7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7"/>
    <w:next w:val="Style_7"/>
    <w:link w:val="Style_14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7_ch"/>
    <w:link w:val="Style_14"/>
    <w:rPr>
      <w:rFonts w:ascii="Cambria" w:hAnsi="Cambria"/>
      <w:b w:val="1"/>
      <w:sz w:val="26"/>
    </w:rPr>
  </w:style>
  <w:style w:styleId="Style_6" w:type="paragraph">
    <w:name w:val="Body Text 2"/>
    <w:basedOn w:val="Style_7"/>
    <w:link w:val="Style_6_ch"/>
    <w:pPr>
      <w:spacing w:after="120" w:line="480" w:lineRule="auto"/>
      <w:ind/>
    </w:pPr>
  </w:style>
  <w:style w:styleId="Style_6_ch" w:type="character">
    <w:name w:val="Body Text 2"/>
    <w:basedOn w:val="Style_7_ch"/>
    <w:link w:val="Style_6"/>
  </w:style>
  <w:style w:styleId="Style_15" w:type="paragraph">
    <w:name w:val="Body Text Indent 3"/>
    <w:basedOn w:val="Style_7"/>
    <w:link w:val="Style_15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15_ch" w:type="character">
    <w:name w:val="Body Text Indent 3"/>
    <w:basedOn w:val="Style_7_ch"/>
    <w:link w:val="Style_15"/>
    <w:rPr>
      <w:sz w:val="16"/>
    </w:rPr>
  </w:style>
  <w:style w:styleId="Style_16" w:type="paragraph">
    <w:name w:val="Balloon Text"/>
    <w:basedOn w:val="Style_7"/>
    <w:link w:val="Style_16_ch"/>
    <w:rPr>
      <w:sz w:val="2"/>
    </w:rPr>
  </w:style>
  <w:style w:styleId="Style_16_ch" w:type="character">
    <w:name w:val="Balloon Text"/>
    <w:basedOn w:val="Style_7_ch"/>
    <w:link w:val="Style_16"/>
    <w:rPr>
      <w:sz w:val="2"/>
    </w:rPr>
  </w:style>
  <w:style w:styleId="Style_5" w:type="paragraph">
    <w:name w:val="Body Text"/>
    <w:basedOn w:val="Style_7"/>
    <w:link w:val="Style_5_ch"/>
    <w:pPr>
      <w:widowControl w:val="1"/>
      <w:spacing w:after="120" w:line="360" w:lineRule="auto"/>
      <w:ind w:firstLine="567" w:left="0"/>
      <w:jc w:val="both"/>
    </w:pPr>
  </w:style>
  <w:style w:styleId="Style_5_ch" w:type="character">
    <w:name w:val="Body Text"/>
    <w:basedOn w:val="Style_7_ch"/>
    <w:link w:val="Style_5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18" w:type="paragraph">
    <w:name w:val="Block Text"/>
    <w:basedOn w:val="Style_7"/>
    <w:link w:val="Style_18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18_ch" w:type="character">
    <w:name w:val="Block Text"/>
    <w:basedOn w:val="Style_7_ch"/>
    <w:link w:val="Style_18"/>
    <w:rPr>
      <w:b w:val="1"/>
      <w:i w:val="1"/>
      <w:color w:val="000000"/>
      <w:sz w:val="28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Normal1"/>
    <w:link w:val="Style_20_ch"/>
    <w:rPr>
      <w:sz w:val="24"/>
    </w:rPr>
  </w:style>
  <w:style w:styleId="Style_20_ch" w:type="character">
    <w:name w:val="Normal1"/>
    <w:link w:val="Style_20"/>
    <w:rPr>
      <w:sz w:val="24"/>
    </w:rPr>
  </w:style>
  <w:style w:styleId="Style_21" w:type="paragraph">
    <w:name w:val="heading 5"/>
    <w:next w:val="Style_7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7_ch"/>
    <w:link w:val="Style_4"/>
    <w:rPr>
      <w:rFonts w:ascii="Cambria" w:hAnsi="Cambria"/>
      <w:b w:val="1"/>
      <w:sz w:val="32"/>
    </w:rPr>
  </w:style>
  <w:style w:styleId="Style_3" w:type="paragraph">
    <w:name w:val="footer"/>
    <w:basedOn w:val="Style_7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22" w:type="paragraph">
    <w:name w:val="Body Text Indent"/>
    <w:basedOn w:val="Style_7"/>
    <w:link w:val="Style_22_ch"/>
    <w:pPr>
      <w:spacing w:after="120"/>
      <w:ind w:firstLine="0" w:left="283"/>
    </w:pPr>
  </w:style>
  <w:style w:styleId="Style_22_ch" w:type="character">
    <w:name w:val="Body Text Indent"/>
    <w:basedOn w:val="Style_7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7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Знак Знак Знак2 Знак"/>
    <w:basedOn w:val="Style_7"/>
    <w:link w:val="Style_29_ch"/>
    <w:pPr>
      <w:spacing w:after="160" w:line="240" w:lineRule="exact"/>
      <w:ind/>
      <w:jc w:val="right"/>
    </w:pPr>
  </w:style>
  <w:style w:styleId="Style_29_ch" w:type="character">
    <w:name w:val="Знак Знак Знак2 Знак"/>
    <w:basedOn w:val="Style_7_ch"/>
    <w:link w:val="Style_29"/>
  </w:style>
  <w:style w:styleId="Style_30" w:type="paragraph">
    <w:name w:val="val"/>
    <w:link w:val="Style_30_ch"/>
  </w:style>
  <w:style w:styleId="Style_30_ch" w:type="character">
    <w:name w:val="val"/>
    <w:link w:val="Style_30"/>
  </w:style>
  <w:style w:styleId="Style_31" w:type="paragraph">
    <w:name w:val="toc 5"/>
    <w:next w:val="Style_7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annotation subject"/>
    <w:basedOn w:val="Style_12"/>
    <w:next w:val="Style_12"/>
    <w:link w:val="Style_32_ch"/>
    <w:rPr>
      <w:b w:val="1"/>
    </w:rPr>
  </w:style>
  <w:style w:styleId="Style_32_ch" w:type="character">
    <w:name w:val="annotation subject"/>
    <w:basedOn w:val="Style_12_ch"/>
    <w:link w:val="Style_32"/>
    <w:rPr>
      <w:b w:val="1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3" w:type="paragraph">
    <w:name w:val="ConsNonformat"/>
    <w:link w:val="Style_33_ch"/>
    <w:pPr>
      <w:widowControl w:val="0"/>
      <w:ind/>
    </w:pPr>
    <w:rPr>
      <w:rFonts w:ascii="Courier New" w:hAnsi="Courier New"/>
    </w:rPr>
  </w:style>
  <w:style w:styleId="Style_33_ch" w:type="character">
    <w:name w:val="ConsNonformat"/>
    <w:link w:val="Style_33"/>
    <w:rPr>
      <w:rFonts w:ascii="Courier New" w:hAnsi="Courier New"/>
    </w:rPr>
  </w:style>
  <w:style w:styleId="Style_34" w:type="paragraph">
    <w:name w:val="Пункт"/>
    <w:basedOn w:val="Style_7"/>
    <w:link w:val="Style_34_ch"/>
    <w:pPr>
      <w:widowControl w:val="1"/>
      <w:spacing w:line="360" w:lineRule="auto"/>
      <w:ind/>
      <w:jc w:val="both"/>
    </w:pPr>
    <w:rPr>
      <w:sz w:val="28"/>
    </w:rPr>
  </w:style>
  <w:style w:styleId="Style_34_ch" w:type="character">
    <w:name w:val="Пункт"/>
    <w:basedOn w:val="Style_7_ch"/>
    <w:link w:val="Style_34"/>
    <w:rPr>
      <w:sz w:val="28"/>
    </w:rPr>
  </w:style>
  <w:style w:styleId="Style_35" w:type="paragraph">
    <w:name w:val="Subtitle"/>
    <w:next w:val="Style_7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Body Text Indent 2"/>
    <w:basedOn w:val="Style_7"/>
    <w:link w:val="Style_36_ch"/>
    <w:pPr>
      <w:spacing w:line="324" w:lineRule="exact"/>
      <w:ind w:firstLine="626" w:left="0" w:right="29"/>
      <w:jc w:val="both"/>
    </w:pPr>
  </w:style>
  <w:style w:styleId="Style_36_ch" w:type="character">
    <w:name w:val="Body Text Indent 2"/>
    <w:basedOn w:val="Style_7_ch"/>
    <w:link w:val="Style_36"/>
  </w:style>
  <w:style w:styleId="Style_37" w:type="paragraph">
    <w:name w:val="annotation reference"/>
    <w:link w:val="Style_37_ch"/>
    <w:rPr>
      <w:sz w:val="16"/>
    </w:rPr>
  </w:style>
  <w:style w:styleId="Style_37_ch" w:type="character">
    <w:name w:val="annotation reference"/>
    <w:link w:val="Style_37"/>
    <w:rPr>
      <w:sz w:val="16"/>
    </w:rPr>
  </w:style>
  <w:style w:styleId="Style_38" w:type="paragraph">
    <w:name w:val="Title"/>
    <w:next w:val="Style_7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7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7"/>
    <w:next w:val="Style_7"/>
    <w:link w:val="Style_40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7_ch"/>
    <w:link w:val="Style_40"/>
    <w:rPr>
      <w:rFonts w:ascii="Cambria" w:hAnsi="Cambria"/>
      <w:b w:val="1"/>
      <w:i w:val="1"/>
      <w:sz w:val="28"/>
    </w:rPr>
  </w:style>
  <w:style w:styleId="Style_41" w:type="paragraph">
    <w:name w:val="*Document Title"/>
    <w:basedOn w:val="Style_3"/>
    <w:link w:val="Style_41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41_ch" w:type="character">
    <w:name w:val="*Document Title"/>
    <w:basedOn w:val="Style_3_ch"/>
    <w:link w:val="Style_41"/>
    <w:rPr>
      <w:b w:val="1"/>
      <w:smallCaps w:val="1"/>
      <w:sz w:val="32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2026-04-15T05:51:25Z</dcterms:modified>
</cp:coreProperties>
</file>