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_rels/document.xml.rels" ContentType="application/vnd.openxmlformats-package.relationships+xml"/>
  <Override PartName="/word/header2.xml" ContentType="application/vnd.openxmlformats-officedocument.wordprocessingml.header+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Межрегиональное территориальное управление Федерального агентство по управлению государственным имуществом в Калужской, Брянской и Смоленской областях</w:t>
      </w:r>
    </w:p>
    <w:p>
      <w:pPr>
        <w:pStyle w:val="Normal"/>
        <w:jc w:val="center"/>
        <w:rPr>
          <w:b/>
          <w:sz w:val="32"/>
        </w:rPr>
      </w:pPr>
      <w:r>
        <w:rPr>
          <w:b/>
          <w:sz w:val="32"/>
        </w:rPr>
      </w:r>
    </w:p>
    <w:p>
      <w:pPr>
        <w:pStyle w:val="Normal"/>
        <w:jc w:val="center"/>
        <w:rPr>
          <w:b/>
          <w:sz w:val="32"/>
        </w:rPr>
      </w:pPr>
      <w:r>
        <w:rPr>
          <w:b/>
          <w:sz w:val="32"/>
        </w:rPr>
      </w:r>
    </w:p>
    <w:p>
      <w:pPr>
        <w:pStyle w:val="Normal"/>
        <w:jc w:val="center"/>
        <w:rPr>
          <w:b/>
          <w:sz w:val="28"/>
        </w:rPr>
      </w:pPr>
      <w:r>
        <w:rPr>
          <w:b/>
          <w:sz w:val="28"/>
        </w:rPr>
        <w:t>ИНФОРМАЦИОННОЕ СООБЩЕНИЕ</w:t>
      </w:r>
    </w:p>
    <w:p>
      <w:pPr>
        <w:pStyle w:val="Normal"/>
        <w:tabs>
          <w:tab w:val="clear" w:pos="709"/>
          <w:tab w:val="left" w:pos="851" w:leader="none"/>
        </w:tabs>
        <w:jc w:val="center"/>
        <w:rPr/>
      </w:pPr>
      <w:r>
        <w:rPr>
          <w:b/>
        </w:rPr>
        <w:t>о проведении продажи посредством публичного предло</w:t>
      </w:r>
      <w:r>
        <w:rPr>
          <w:b/>
          <w:shd w:fill="auto" w:val="clear"/>
        </w:rPr>
        <w:t>жен</w:t>
      </w:r>
      <w:r>
        <w:rPr>
          <w:b/>
          <w:sz w:val="24"/>
          <w:shd w:fill="auto" w:val="clear"/>
        </w:rPr>
        <w:t xml:space="preserve">ия </w:t>
      </w:r>
      <w:r>
        <w:rPr>
          <w:rFonts w:eastAsia="Droid Sans Fallback" w:cs="Droid Sans Devanagari" w:ascii="TimesNewRoman" w:hAnsi="TimesNewRoman"/>
          <w:b/>
          <w:bCs/>
          <w:i w:val="false"/>
          <w:strike w:val="false"/>
          <w:dstrike w:val="false"/>
          <w:shadow w:val="false"/>
          <w:color w:val="000000"/>
          <w:spacing w:val="0"/>
          <w:kern w:val="0"/>
          <w:sz w:val="24"/>
          <w:szCs w:val="24"/>
          <w:u w:val="none"/>
          <w:shd w:fill="auto" w:val="clear"/>
          <w:lang w:val="ru-RU" w:eastAsia="zh-CN" w:bidi="hi-IN"/>
        </w:rPr>
        <w:t>земельного участка площадью 10458 кв.м, с кадастровым номером 32:31:0030201:32, с расположенными на нем объектами недвижимого имущества: казарма № 1 с кадастровым номером 32:31:0030201:80, казарма с кадастровым номером 32:31:0030201:40, по адресу:                 Брянская область, г.о. Новозыбковский, г. Новозыбков,ул. Коммунистическая, д.104</w:t>
      </w:r>
    </w:p>
    <w:p>
      <w:pPr>
        <w:pStyle w:val="Normal"/>
        <w:tabs>
          <w:tab w:val="clear" w:pos="709"/>
          <w:tab w:val="left" w:pos="851" w:leader="none"/>
        </w:tabs>
        <w:jc w:val="center"/>
        <w:rPr>
          <w:b/>
          <w:i/>
          <w:i/>
          <w:sz w:val="28"/>
        </w:rPr>
      </w:pPr>
      <w:r>
        <w:rPr>
          <w:b/>
          <w:i/>
          <w:sz w:val="28"/>
        </w:rPr>
        <w:t>___________________________________</w:t>
      </w:r>
    </w:p>
    <w:p>
      <w:pPr>
        <w:pStyle w:val="Normal"/>
        <w:jc w:val="center"/>
        <w:rPr>
          <w:b/>
          <w:i/>
          <w:i/>
          <w:sz w:val="28"/>
        </w:rPr>
      </w:pPr>
      <w:r>
        <w:rPr>
          <w:b/>
          <w:i/>
          <w:sz w:val="28"/>
        </w:rPr>
      </w:r>
    </w:p>
    <w:p>
      <w:pPr>
        <w:pStyle w:val="Normal"/>
        <w:jc w:val="center"/>
        <w:rPr>
          <w:b/>
          <w:i/>
          <w:i/>
          <w:sz w:val="28"/>
        </w:rPr>
      </w:pPr>
      <w:r>
        <w:rPr>
          <w:b/>
          <w:i/>
          <w:sz w:val="28"/>
        </w:rPr>
      </w:r>
    </w:p>
    <w:p>
      <w:pPr>
        <w:pStyle w:val="Normal"/>
        <w:jc w:val="center"/>
        <w:rPr>
          <w:b/>
          <w:i/>
          <w:i/>
          <w:sz w:val="28"/>
        </w:rPr>
      </w:pPr>
      <w:r>
        <w:rPr>
          <w:b/>
          <w:i/>
          <w:sz w:val="28"/>
        </w:rPr>
      </w:r>
    </w:p>
    <w:tbl>
      <w:tblPr>
        <w:tblStyle w:val="Style_3"/>
        <w:tblW w:w="7485" w:type="dxa"/>
        <w:jc w:val="left"/>
        <w:tblInd w:w="1504" w:type="dxa"/>
        <w:tblLayout w:type="fixed"/>
        <w:tblCellMar>
          <w:top w:w="0" w:type="dxa"/>
          <w:left w:w="108" w:type="dxa"/>
          <w:bottom w:w="0" w:type="dxa"/>
          <w:right w:w="108" w:type="dxa"/>
        </w:tblCellMar>
      </w:tblPr>
      <w:tblGrid>
        <w:gridCol w:w="3695"/>
        <w:gridCol w:w="3789"/>
      </w:tblGrid>
      <w:tr>
        <w:trPr>
          <w:trHeight w:val="573" w:hRule="atLeast"/>
        </w:trPr>
        <w:tc>
          <w:tcPr>
            <w:tcW w:w="3695" w:type="dxa"/>
            <w:tcBorders>
              <w:top w:val="nil"/>
              <w:left w:val="nil"/>
              <w:bottom w:val="nil"/>
              <w:right w:val="nil"/>
            </w:tcBorders>
            <w:vAlign w:val="center"/>
          </w:tcPr>
          <w:p>
            <w:pPr>
              <w:pStyle w:val="BodyText"/>
              <w:widowControl/>
              <w:suppressAutoHyphens w:val="true"/>
              <w:spacing w:lineRule="auto" w:line="264" w:before="0" w:after="0"/>
              <w:ind w:hanging="0" w:left="0" w:right="57"/>
              <w:jc w:val="left"/>
              <w:rPr>
                <w:highlight w:val="none"/>
                <w:shd w:fill="auto" w:val="clear"/>
              </w:rPr>
            </w:pPr>
            <w:r>
              <w:rPr>
                <w:spacing w:val="0"/>
                <w:kern w:val="0"/>
                <w:szCs w:val="20"/>
                <w:shd w:fill="auto" w:val="clear"/>
              </w:rPr>
              <w:t>Дата начала приема заявок:</w:t>
            </w:r>
          </w:p>
        </w:tc>
        <w:tc>
          <w:tcPr>
            <w:tcW w:w="3789" w:type="dxa"/>
            <w:tcBorders>
              <w:top w:val="nil"/>
              <w:left w:val="nil"/>
              <w:bottom w:val="nil"/>
              <w:right w:val="nil"/>
            </w:tcBorders>
            <w:vAlign w:val="center"/>
          </w:tcPr>
          <w:p>
            <w:pPr>
              <w:pStyle w:val="BodyText"/>
              <w:widowControl/>
              <w:suppressAutoHyphens w:val="true"/>
              <w:spacing w:lineRule="auto" w:line="264" w:before="0" w:after="0"/>
              <w:ind w:hanging="0" w:left="0" w:right="57"/>
              <w:jc w:val="left"/>
              <w:rPr>
                <w:highlight w:val="none"/>
                <w:shd w:fill="auto" w:val="clear"/>
              </w:rPr>
            </w:pPr>
            <w:r>
              <w:rPr>
                <w:spacing w:val="0"/>
                <w:kern w:val="0"/>
                <w:szCs w:val="20"/>
                <w:shd w:fill="auto" w:val="clear"/>
              </w:rPr>
              <w:t>16 марта 2026 г.</w:t>
            </w:r>
          </w:p>
        </w:tc>
      </w:tr>
      <w:tr>
        <w:trPr>
          <w:trHeight w:val="588" w:hRule="atLeast"/>
        </w:trPr>
        <w:tc>
          <w:tcPr>
            <w:tcW w:w="3695" w:type="dxa"/>
            <w:tcBorders>
              <w:top w:val="nil"/>
              <w:left w:val="nil"/>
              <w:bottom w:val="nil"/>
              <w:right w:val="nil"/>
            </w:tcBorders>
            <w:vAlign w:val="center"/>
          </w:tcPr>
          <w:p>
            <w:pPr>
              <w:pStyle w:val="BodyText"/>
              <w:widowControl/>
              <w:suppressAutoHyphens w:val="true"/>
              <w:spacing w:lineRule="auto" w:line="264" w:before="0" w:after="0"/>
              <w:ind w:hanging="0" w:left="0" w:right="57"/>
              <w:jc w:val="left"/>
              <w:rPr>
                <w:highlight w:val="none"/>
                <w:shd w:fill="auto" w:val="clear"/>
              </w:rPr>
            </w:pPr>
            <w:r>
              <w:rPr>
                <w:spacing w:val="0"/>
                <w:kern w:val="0"/>
                <w:szCs w:val="20"/>
                <w:shd w:fill="auto" w:val="clear"/>
              </w:rPr>
              <w:t>Дата окончания приема заявок:</w:t>
            </w:r>
          </w:p>
        </w:tc>
        <w:tc>
          <w:tcPr>
            <w:tcW w:w="3789" w:type="dxa"/>
            <w:tcBorders>
              <w:top w:val="nil"/>
              <w:left w:val="nil"/>
              <w:bottom w:val="nil"/>
              <w:right w:val="nil"/>
            </w:tcBorders>
            <w:vAlign w:val="center"/>
          </w:tcPr>
          <w:p>
            <w:pPr>
              <w:pStyle w:val="BodyText"/>
              <w:widowControl/>
              <w:suppressAutoHyphens w:val="true"/>
              <w:spacing w:lineRule="auto" w:line="264" w:before="0" w:after="0"/>
              <w:ind w:hanging="0" w:left="0" w:right="57"/>
              <w:jc w:val="left"/>
              <w:rPr>
                <w:highlight w:val="none"/>
                <w:shd w:fill="auto" w:val="clear"/>
              </w:rPr>
            </w:pPr>
            <w:r>
              <w:rPr>
                <w:spacing w:val="0"/>
                <w:kern w:val="0"/>
                <w:szCs w:val="20"/>
                <w:shd w:fill="auto" w:val="clear"/>
              </w:rPr>
              <w:t>12 апреля 2026 г.</w:t>
            </w:r>
          </w:p>
        </w:tc>
      </w:tr>
      <w:tr>
        <w:trPr>
          <w:trHeight w:val="573" w:hRule="atLeast"/>
        </w:trPr>
        <w:tc>
          <w:tcPr>
            <w:tcW w:w="3695" w:type="dxa"/>
            <w:tcBorders>
              <w:top w:val="nil"/>
              <w:left w:val="nil"/>
              <w:bottom w:val="nil"/>
              <w:right w:val="nil"/>
            </w:tcBorders>
            <w:vAlign w:val="center"/>
          </w:tcPr>
          <w:p>
            <w:pPr>
              <w:pStyle w:val="BodyText"/>
              <w:widowControl/>
              <w:suppressAutoHyphens w:val="true"/>
              <w:spacing w:lineRule="auto" w:line="264" w:before="0" w:after="0"/>
              <w:ind w:hanging="0" w:left="0" w:right="57"/>
              <w:jc w:val="left"/>
              <w:rPr>
                <w:highlight w:val="none"/>
                <w:shd w:fill="auto" w:val="clear"/>
              </w:rPr>
            </w:pPr>
            <w:r>
              <w:rPr>
                <w:spacing w:val="0"/>
                <w:kern w:val="0"/>
                <w:szCs w:val="20"/>
                <w:shd w:fill="auto" w:val="clear"/>
              </w:rPr>
              <w:t>Дата определения участников:</w:t>
            </w:r>
          </w:p>
        </w:tc>
        <w:tc>
          <w:tcPr>
            <w:tcW w:w="3789" w:type="dxa"/>
            <w:tcBorders>
              <w:top w:val="nil"/>
              <w:left w:val="nil"/>
              <w:bottom w:val="nil"/>
              <w:right w:val="nil"/>
            </w:tcBorders>
            <w:vAlign w:val="center"/>
          </w:tcPr>
          <w:p>
            <w:pPr>
              <w:pStyle w:val="BodyText"/>
              <w:widowControl/>
              <w:suppressAutoHyphens w:val="true"/>
              <w:spacing w:lineRule="auto" w:line="264" w:before="0" w:after="0"/>
              <w:ind w:hanging="0" w:left="0" w:right="57"/>
              <w:jc w:val="left"/>
              <w:rPr>
                <w:highlight w:val="none"/>
                <w:shd w:fill="auto" w:val="clear"/>
              </w:rPr>
            </w:pPr>
            <w:r>
              <w:rPr>
                <w:spacing w:val="0"/>
                <w:kern w:val="0"/>
                <w:szCs w:val="20"/>
                <w:shd w:fill="auto" w:val="clear"/>
              </w:rPr>
              <w:t>14 апреля 2026 г.</w:t>
            </w:r>
          </w:p>
        </w:tc>
      </w:tr>
      <w:tr>
        <w:trPr>
          <w:trHeight w:val="588" w:hRule="atLeast"/>
        </w:trPr>
        <w:tc>
          <w:tcPr>
            <w:tcW w:w="3695" w:type="dxa"/>
            <w:tcBorders>
              <w:top w:val="nil"/>
              <w:left w:val="nil"/>
              <w:bottom w:val="nil"/>
              <w:right w:val="nil"/>
            </w:tcBorders>
            <w:vAlign w:val="center"/>
          </w:tcPr>
          <w:p>
            <w:pPr>
              <w:pStyle w:val="BodyText"/>
              <w:widowControl/>
              <w:suppressAutoHyphens w:val="true"/>
              <w:spacing w:lineRule="auto" w:line="264" w:before="0" w:after="0"/>
              <w:ind w:hanging="0" w:left="0" w:right="57"/>
              <w:jc w:val="left"/>
              <w:rPr>
                <w:highlight w:val="none"/>
                <w:shd w:fill="auto" w:val="clear"/>
              </w:rPr>
            </w:pPr>
            <w:r>
              <w:rPr>
                <w:spacing w:val="0"/>
                <w:kern w:val="0"/>
                <w:szCs w:val="20"/>
                <w:shd w:fill="auto" w:val="clear"/>
              </w:rPr>
              <w:t>Дата проведения продажи посредством публичного предложения:</w:t>
            </w:r>
          </w:p>
        </w:tc>
        <w:tc>
          <w:tcPr>
            <w:tcW w:w="3789" w:type="dxa"/>
            <w:tcBorders>
              <w:top w:val="nil"/>
              <w:left w:val="nil"/>
              <w:bottom w:val="nil"/>
              <w:right w:val="nil"/>
            </w:tcBorders>
            <w:vAlign w:val="center"/>
          </w:tcPr>
          <w:p>
            <w:pPr>
              <w:pStyle w:val="BodyText"/>
              <w:widowControl/>
              <w:suppressAutoHyphens w:val="true"/>
              <w:spacing w:lineRule="auto" w:line="264" w:before="0" w:after="0"/>
              <w:ind w:hanging="0" w:left="0" w:right="57"/>
              <w:jc w:val="left"/>
              <w:rPr>
                <w:highlight w:val="none"/>
                <w:shd w:fill="auto" w:val="clear"/>
              </w:rPr>
            </w:pPr>
            <w:r>
              <w:rPr>
                <w:spacing w:val="0"/>
                <w:kern w:val="0"/>
                <w:szCs w:val="20"/>
                <w:shd w:fill="auto" w:val="clear"/>
              </w:rPr>
              <w:t>17 апреля 2026 г.</w:t>
            </w:r>
          </w:p>
        </w:tc>
      </w:tr>
    </w:tbl>
    <w:p>
      <w:pPr>
        <w:pStyle w:val="BodyText"/>
        <w:spacing w:lineRule="auto" w:line="264"/>
        <w:ind w:firstLine="720" w:left="0" w:right="57"/>
        <w:rPr>
          <w:sz w:val="28"/>
        </w:rPr>
      </w:pPr>
      <w:r>
        <w:rPr>
          <w:sz w:val="28"/>
        </w:rPr>
      </w:r>
      <w:r>
        <w:br w:type="page"/>
      </w:r>
    </w:p>
    <w:p>
      <w:pPr>
        <w:pStyle w:val="Normal"/>
        <w:spacing w:before="0" w:after="0"/>
        <w:rPr>
          <w:rFonts w:ascii="TimesNewRoman,Bold" w:hAnsi="TimesNewRoman,Bold"/>
          <w:b/>
          <w:sz w:val="28"/>
        </w:rPr>
      </w:pPr>
      <w:r>
        <w:rPr>
          <w:rFonts w:ascii="TimesNewRoman,Bold" w:hAnsi="TimesNewRoman,Bold"/>
          <w:b/>
          <w:sz w:val="28"/>
        </w:rPr>
        <w:t>СОДЕРЖАНИЕ</w:t>
      </w:r>
    </w:p>
    <w:p>
      <w:pPr>
        <w:pStyle w:val="Normal"/>
        <w:rPr>
          <w:rFonts w:ascii="TimesNewRoman" w:hAnsi="TimesNewRoman"/>
        </w:rPr>
      </w:pPr>
      <w:r>
        <w:rPr>
          <w:rFonts w:ascii="TimesNewRoman" w:hAnsi="TimesNewRoman"/>
        </w:rPr>
        <w:t xml:space="preserve">1. Основные понятия </w:t>
      </w:r>
    </w:p>
    <w:p>
      <w:pPr>
        <w:pStyle w:val="Normal"/>
        <w:rPr>
          <w:rFonts w:ascii="TimesNewRoman" w:hAnsi="TimesNewRoman"/>
        </w:rPr>
      </w:pPr>
      <w:r>
        <w:rPr>
          <w:rFonts w:ascii="TimesNewRoman" w:hAnsi="TimesNewRoman"/>
        </w:rPr>
        <w:t xml:space="preserve">2. Правовое регулирование </w:t>
      </w:r>
    </w:p>
    <w:p>
      <w:pPr>
        <w:pStyle w:val="Normal"/>
        <w:rPr>
          <w:rFonts w:ascii="TimesNewRoman" w:hAnsi="TimesNewRoman"/>
        </w:rPr>
      </w:pPr>
      <w:r>
        <w:rPr>
          <w:rFonts w:ascii="TimesNewRoman" w:hAnsi="TimesNewRoman"/>
        </w:rPr>
        <w:t xml:space="preserve">3. Сведения о продаже посредство публичного предложения </w:t>
      </w:r>
    </w:p>
    <w:p>
      <w:pPr>
        <w:pStyle w:val="Normal"/>
        <w:rPr/>
      </w:pPr>
      <w:r>
        <w:rPr>
          <w:rFonts w:ascii="TimesNewRoman" w:hAnsi="TimesNewRoman"/>
        </w:rPr>
        <w:t xml:space="preserve">4. Место, сроки подачи (приема) заявок, определения участников и подведения итогов продажи посредство публичного предложения </w:t>
      </w:r>
    </w:p>
    <w:p>
      <w:pPr>
        <w:pStyle w:val="Normal"/>
        <w:rPr>
          <w:rFonts w:ascii="TimesNewRoman" w:hAnsi="TimesNewRoman"/>
        </w:rPr>
      </w:pPr>
      <w:r>
        <w:rPr>
          <w:rFonts w:ascii="TimesNewRoman" w:hAnsi="TimesNewRoman"/>
        </w:rPr>
        <w:t xml:space="preserve">5. Сроки и порядок регистрации на электронной площадке </w:t>
      </w:r>
    </w:p>
    <w:p>
      <w:pPr>
        <w:pStyle w:val="Normal"/>
        <w:rPr>
          <w:rFonts w:ascii="TimesNewRoman" w:hAnsi="TimesNewRoman"/>
        </w:rPr>
      </w:pPr>
      <w:r>
        <w:rPr>
          <w:rFonts w:ascii="TimesNewRoman" w:hAnsi="TimesNewRoman"/>
        </w:rPr>
        <w:t xml:space="preserve">6. Порядок подачи (приема) и отзыва заявок </w:t>
      </w:r>
    </w:p>
    <w:p>
      <w:pPr>
        <w:pStyle w:val="Normal"/>
        <w:rPr>
          <w:rFonts w:ascii="TimesNewRoman" w:hAnsi="TimesNewRoman"/>
        </w:rPr>
      </w:pPr>
      <w:r>
        <w:rPr>
          <w:rFonts w:ascii="TimesNewRoman" w:hAnsi="TimesNewRoman"/>
        </w:rPr>
        <w:t xml:space="preserve">7. Перечень документов, представляемых участниками торгов и требования к их оформлению </w:t>
      </w:r>
    </w:p>
    <w:p>
      <w:pPr>
        <w:pStyle w:val="Normal"/>
        <w:rPr>
          <w:rFonts w:ascii="TimesNewRoman" w:hAnsi="TimesNewRoman"/>
        </w:rPr>
      </w:pPr>
      <w:r>
        <w:rPr>
          <w:rFonts w:ascii="TimesNewRoman" w:hAnsi="TimesNewRoman"/>
        </w:rPr>
        <w:t xml:space="preserve">8. Ограничения участия в продаже посредством публичного предложения отдельных категорий физических и юридических лиц </w:t>
      </w:r>
    </w:p>
    <w:p>
      <w:pPr>
        <w:pStyle w:val="Normal"/>
        <w:rPr>
          <w:rFonts w:ascii="TimesNewRoman" w:hAnsi="TimesNewRoman"/>
        </w:rPr>
      </w:pPr>
      <w:r>
        <w:rPr>
          <w:rFonts w:ascii="TimesNewRoman" w:hAnsi="TimesNewRoman"/>
        </w:rPr>
        <w:t xml:space="preserve">9. Порядок внесения задатка и его возврата </w:t>
      </w:r>
    </w:p>
    <w:p>
      <w:pPr>
        <w:pStyle w:val="Normal"/>
        <w:rPr>
          <w:rFonts w:ascii="TimesNewRoman" w:hAnsi="TimesNewRoman"/>
        </w:rPr>
      </w:pPr>
      <w:r>
        <w:rPr>
          <w:rFonts w:ascii="TimesNewRoman" w:hAnsi="TimesNewRoman"/>
        </w:rPr>
        <w:t>10. Порядок ознакомления со сведениями об Имуществе, выставляемом на продажу посредством публичного предложения</w:t>
      </w:r>
    </w:p>
    <w:p>
      <w:pPr>
        <w:pStyle w:val="Normal"/>
        <w:rPr>
          <w:rFonts w:ascii="TimesNewRoman" w:hAnsi="TimesNewRoman"/>
        </w:rPr>
      </w:pPr>
      <w:r>
        <w:rPr>
          <w:rFonts w:ascii="TimesNewRoman" w:hAnsi="TimesNewRoman"/>
        </w:rPr>
        <w:t>11. Порядок определения участников продажи посредством публичного предложения</w:t>
      </w:r>
    </w:p>
    <w:p>
      <w:pPr>
        <w:pStyle w:val="Normal"/>
        <w:rPr>
          <w:rFonts w:ascii="TimesNewRoman" w:hAnsi="TimesNewRoman"/>
        </w:rPr>
      </w:pPr>
      <w:r>
        <w:rPr>
          <w:rFonts w:ascii="TimesNewRoman" w:hAnsi="TimesNewRoman"/>
        </w:rPr>
        <w:t xml:space="preserve">12. Порядок проведения продажи посредством публичного предложения и определения победителя </w:t>
      </w:r>
    </w:p>
    <w:p>
      <w:pPr>
        <w:pStyle w:val="Normal"/>
        <w:rPr>
          <w:rFonts w:ascii="TimesNewRoman" w:hAnsi="TimesNewRoman"/>
        </w:rPr>
      </w:pPr>
      <w:r>
        <w:rPr>
          <w:rFonts w:ascii="TimesNewRoman" w:hAnsi="TimesNewRoman"/>
        </w:rPr>
        <w:t xml:space="preserve">13. Срок заключения договора купли-продажи недвижимого имущества </w:t>
      </w:r>
    </w:p>
    <w:p>
      <w:pPr>
        <w:pStyle w:val="Normal"/>
        <w:rPr>
          <w:rFonts w:ascii="TimesNewRoman" w:hAnsi="TimesNewRoman"/>
        </w:rPr>
      </w:pPr>
      <w:r>
        <w:rPr>
          <w:rFonts w:ascii="TimesNewRoman" w:hAnsi="TimesNewRoman"/>
        </w:rPr>
        <w:t>14. Переход права собственности на федеральное имущество</w:t>
      </w:r>
    </w:p>
    <w:p>
      <w:pPr>
        <w:pStyle w:val="Normal"/>
        <w:rPr>
          <w:rFonts w:ascii="TimesNewRoman" w:hAnsi="TimesNewRoman"/>
        </w:rPr>
      </w:pPr>
      <w:r>
        <w:rPr>
          <w:rFonts w:ascii="TimesNewRoman" w:hAnsi="TimesNewRoman"/>
        </w:rPr>
        <w:t>15. Заключительные положения</w:t>
      </w:r>
    </w:p>
    <w:p>
      <w:pPr>
        <w:pStyle w:val="Normal"/>
        <w:rPr>
          <w:rFonts w:ascii="TimesNewRoman" w:hAnsi="TimesNewRoman"/>
        </w:rPr>
      </w:pPr>
      <w:r>
        <w:rPr>
          <w:rFonts w:ascii="TimesNewRoman" w:hAnsi="TimesNewRoman"/>
        </w:rPr>
        <w:t xml:space="preserve">Приложение 1 (заявка) </w:t>
        <w:br/>
        <w:t xml:space="preserve">Приложение 2 (договор купли-продажи) </w:t>
      </w:r>
    </w:p>
    <w:p>
      <w:pPr>
        <w:pStyle w:val="Normal"/>
        <w:rPr>
          <w:rFonts w:ascii="TimesNewRoman" w:hAnsi="TimesNewRoman"/>
        </w:rPr>
      </w:pPr>
      <w:r>
        <w:rPr>
          <w:rFonts w:ascii="TimesNewRoman" w:hAnsi="TimesNewRoman"/>
        </w:rPr>
      </w:r>
    </w:p>
    <w:p>
      <w:pPr>
        <w:pStyle w:val="BodyText"/>
        <w:spacing w:lineRule="auto" w:line="264"/>
        <w:ind w:firstLine="720" w:left="0" w:right="57"/>
        <w:rPr>
          <w:sz w:val="28"/>
        </w:rPr>
      </w:pPr>
      <w:r>
        <w:rPr>
          <w:sz w:val="28"/>
        </w:rPr>
      </w:r>
      <w:r>
        <w:br w:type="page"/>
      </w:r>
    </w:p>
    <w:p>
      <w:pPr>
        <w:pStyle w:val="BodyText"/>
        <w:numPr>
          <w:ilvl w:val="0"/>
          <w:numId w:val="1"/>
        </w:numPr>
        <w:spacing w:lineRule="auto" w:line="264" w:before="0" w:after="0"/>
        <w:ind w:hanging="360" w:left="0" w:right="57"/>
        <w:jc w:val="center"/>
        <w:rPr>
          <w:b/>
        </w:rPr>
      </w:pPr>
      <w:r>
        <w:rPr>
          <w:b/>
        </w:rPr>
        <w:t>Основные понятия</w:t>
      </w:r>
    </w:p>
    <w:p>
      <w:pPr>
        <w:pStyle w:val="BodyText"/>
        <w:ind w:firstLine="709" w:left="0" w:right="57"/>
        <w:rPr/>
      </w:pPr>
      <w:r>
        <w:rPr>
          <w:b/>
        </w:rPr>
        <w:t xml:space="preserve">Имущество (лоты) </w:t>
      </w:r>
      <w:r>
        <w:rPr>
          <w:rFonts w:ascii="TimesNewRoman" w:hAnsi="TimesNewRoman"/>
          <w:color w:val="000000"/>
        </w:rPr>
        <w:t>продажи посредством публичного предложения</w:t>
      </w:r>
      <w:r>
        <w:rPr>
          <w:b/>
        </w:rPr>
        <w:t xml:space="preserve"> (объекты)</w:t>
      </w:r>
      <w:r>
        <w:rPr/>
        <w:t xml:space="preserve"> – имущество, находящееся в собственности Российской Федерации, права на которое передается по договору купли-продажи (далее – имущество).</w:t>
      </w:r>
    </w:p>
    <w:p>
      <w:pPr>
        <w:pStyle w:val="BodyText"/>
        <w:ind w:firstLine="709" w:left="0" w:right="57"/>
        <w:rPr/>
      </w:pPr>
      <w:r>
        <w:rPr>
          <w:b/>
        </w:rPr>
        <w:t xml:space="preserve">Лот </w:t>
      </w:r>
      <w:r>
        <w:rPr/>
        <w:t>– имущество, являющееся предметом торгов, реализуемое в ходе проведения одной процедуры продажи.</w:t>
      </w:r>
    </w:p>
    <w:p>
      <w:pPr>
        <w:pStyle w:val="Normal"/>
        <w:ind w:firstLine="709" w:left="0" w:right="57"/>
        <w:jc w:val="both"/>
        <w:rPr>
          <w:color w:val="000000"/>
        </w:rPr>
      </w:pPr>
      <w:r>
        <w:rPr>
          <w:b/>
          <w:color w:val="000000"/>
        </w:rPr>
        <w:t xml:space="preserve">Предмет </w:t>
      </w:r>
      <w:r>
        <w:rPr>
          <w:rFonts w:ascii="TimesNewRoman" w:hAnsi="TimesNewRoman"/>
          <w:b/>
          <w:color w:val="000000"/>
        </w:rPr>
        <w:t>продажи посредством публичного предложения</w:t>
      </w:r>
      <w:r>
        <w:rPr>
          <w:color w:val="000000"/>
        </w:rPr>
        <w:t xml:space="preserve"> – продажа Имущества (лота) </w:t>
      </w:r>
      <w:r>
        <w:rPr>
          <w:rFonts w:ascii="TimesNewRoman" w:hAnsi="TimesNewRoman"/>
          <w:color w:val="000000"/>
        </w:rPr>
        <w:t>продажи посредством публичного предложения</w:t>
      </w:r>
      <w:r>
        <w:rPr>
          <w:color w:val="000000"/>
        </w:rPr>
        <w:t>.</w:t>
      </w:r>
    </w:p>
    <w:p>
      <w:pPr>
        <w:pStyle w:val="Normal"/>
        <w:ind w:firstLine="709" w:left="0" w:right="57"/>
        <w:jc w:val="both"/>
        <w:rPr>
          <w:color w:val="000000"/>
        </w:rPr>
      </w:pPr>
      <w:r>
        <w:rPr>
          <w:b/>
          <w:color w:val="000000"/>
        </w:rPr>
        <w:t xml:space="preserve">Цена предмета </w:t>
      </w:r>
      <w:r>
        <w:rPr>
          <w:rFonts w:ascii="TimesNewRoman" w:hAnsi="TimesNewRoman"/>
          <w:b/>
          <w:color w:val="000000"/>
        </w:rPr>
        <w:t>продажи посредством публичного предложения</w:t>
      </w:r>
      <w:r>
        <w:rPr>
          <w:color w:val="000000"/>
        </w:rPr>
        <w:t xml:space="preserve"> – цена продажи Имущества (лота) </w:t>
      </w:r>
      <w:r>
        <w:rPr>
          <w:rFonts w:ascii="TimesNewRoman" w:hAnsi="TimesNewRoman"/>
          <w:color w:val="000000"/>
        </w:rPr>
        <w:t>продажи посредством публичного предложения</w:t>
      </w:r>
      <w:r>
        <w:rPr>
          <w:color w:val="000000"/>
        </w:rPr>
        <w:t>.</w:t>
      </w:r>
    </w:p>
    <w:p>
      <w:pPr>
        <w:pStyle w:val="BodyText"/>
        <w:ind w:firstLine="709" w:left="0" w:right="57"/>
        <w:rPr/>
      </w:pPr>
      <w:r>
        <w:rPr>
          <w:b/>
        </w:rPr>
        <w:t>Шаг аукциона</w:t>
      </w:r>
      <w:r>
        <w:rPr/>
        <w:t xml:space="preserve"> – величина повышения начальной цены продажи Имущества.</w:t>
      </w:r>
    </w:p>
    <w:p>
      <w:pPr>
        <w:pStyle w:val="BodyText"/>
        <w:ind w:firstLine="709" w:left="0" w:right="57"/>
        <w:rPr/>
      </w:pPr>
      <w:r>
        <w:rPr>
          <w:b/>
        </w:rPr>
        <w:t>Шаг понижения</w:t>
      </w:r>
      <w:r>
        <w:rPr/>
        <w:t xml:space="preserve"> – величина снижения начальной цены продажи Имущества.</w:t>
      </w:r>
    </w:p>
    <w:p>
      <w:pPr>
        <w:pStyle w:val="Normal"/>
        <w:ind w:firstLine="709" w:left="0" w:right="57"/>
        <w:jc w:val="both"/>
        <w:rPr/>
      </w:pPr>
      <w:r>
        <w:rPr>
          <w:b/>
        </w:rPr>
        <w:t>Информационное сообщение о проведении продажи посредством публичного предложения</w:t>
      </w:r>
      <w:r>
        <w:rPr/>
        <w:t xml:space="preserve"> (далее – Информационное сообщение) - комплект документов, содержащий сведения о проведении продажи посредством публичного предложения, о предмете продажи,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pPr>
        <w:pStyle w:val="BodyText"/>
        <w:ind w:firstLine="709" w:left="0" w:right="57"/>
        <w:rPr/>
      </w:pPr>
      <w:r>
        <w:rPr>
          <w:b/>
        </w:rPr>
        <w:t>Продавец</w:t>
      </w:r>
      <w:r>
        <w:rPr/>
        <w:t xml:space="preserve"> – Межрегиональное территориальное управление Федерального агентства по управлению государственным имуществом в Калужской, Брянской и Смоленской областях (МТУ Росимущества).</w:t>
      </w:r>
    </w:p>
    <w:p>
      <w:pPr>
        <w:pStyle w:val="Normal"/>
        <w:ind w:firstLine="709" w:left="0" w:right="57"/>
        <w:jc w:val="both"/>
        <w:rPr/>
      </w:pPr>
      <w:r>
        <w:rPr>
          <w:b/>
        </w:rPr>
        <w:t>Оператор</w:t>
      </w:r>
      <w:r>
        <w:rPr/>
        <w:t xml:space="preserve"> </w:t>
      </w:r>
      <w:r>
        <w:rPr>
          <w:b/>
        </w:rPr>
        <w:t>продаж –</w:t>
      </w:r>
      <w:r>
        <w:rPr/>
        <w:t xml:space="preserve">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pPr>
        <w:pStyle w:val="BodyText"/>
        <w:ind w:firstLine="709" w:left="0" w:right="57"/>
        <w:rPr/>
      </w:pPr>
      <w:r>
        <w:rPr>
          <w:b/>
        </w:rPr>
        <w:t xml:space="preserve">Заявка </w:t>
      </w:r>
      <w:r>
        <w:rPr/>
        <w:t xml:space="preserve">– комплект документов, представленный претендентом в срок и по форме, который установлен в Информационном сообщении. </w:t>
      </w:r>
    </w:p>
    <w:p>
      <w:pPr>
        <w:pStyle w:val="BodyText"/>
        <w:ind w:firstLine="709" w:left="0" w:right="57"/>
        <w:rPr/>
      </w:pPr>
      <w:r>
        <w:rPr>
          <w:b/>
        </w:rPr>
        <w:t>Аукционная комиссия</w:t>
      </w:r>
      <w:r>
        <w:rPr/>
        <w:t xml:space="preserve"> – комиссия по проведению </w:t>
      </w:r>
      <w:r>
        <w:rPr>
          <w:rFonts w:ascii="TimesNewRoman" w:hAnsi="TimesNewRoman"/>
        </w:rPr>
        <w:t>продажи посредством публичного предложения</w:t>
      </w:r>
      <w:r>
        <w:rPr/>
        <w:t>, формируемая Уполномоченным органом.</w:t>
      </w:r>
    </w:p>
    <w:p>
      <w:pPr>
        <w:pStyle w:val="NormalWeb111"/>
        <w:spacing w:before="0" w:after="0"/>
        <w:ind w:firstLine="709" w:left="0" w:right="0"/>
        <w:jc w:val="both"/>
        <w:rPr/>
      </w:pPr>
      <w:r>
        <w:rPr>
          <w:b/>
        </w:rPr>
        <w:t xml:space="preserve">Претендент </w:t>
      </w:r>
      <w:r>
        <w:rPr/>
        <w:t>– юридическое лицо, физическое лицо или физическое лицо в качестве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продажи посредством публичного предложения.</w:t>
      </w:r>
    </w:p>
    <w:p>
      <w:pPr>
        <w:pStyle w:val="NormalWeb111"/>
        <w:spacing w:before="0" w:after="0"/>
        <w:ind w:firstLine="709" w:left="0" w:right="0"/>
        <w:jc w:val="both"/>
        <w:rPr/>
      </w:pPr>
      <w:r>
        <w:rPr>
          <w:b/>
        </w:rPr>
        <w:t xml:space="preserve">Участник </w:t>
      </w:r>
      <w:r>
        <w:rPr/>
        <w:t>– юридическое лицо, физическое лицо или физическое лицо в качестве индивидуального предпринимателя, предоставившее Оператору заявку на участие в продаже государственного имущества и допущенное в установленном порядке Продавцом для участия в продаже.</w:t>
      </w:r>
    </w:p>
    <w:p>
      <w:pPr>
        <w:pStyle w:val="NormalWeb111"/>
        <w:spacing w:before="0" w:after="0"/>
        <w:ind w:firstLine="709" w:left="0" w:right="0"/>
        <w:jc w:val="both"/>
        <w:rPr/>
      </w:pPr>
      <w:r>
        <w:rPr>
          <w:b/>
        </w:rPr>
        <w:t>Победитель</w:t>
      </w:r>
      <w:r>
        <w:rPr/>
        <w:t xml:space="preserve"> – участник продажи, предложивший наиболее высокую цену за имущество при проведении продажи посредством публичного предложения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pPr>
        <w:pStyle w:val="BodyText"/>
        <w:ind w:firstLine="851" w:left="0" w:right="57"/>
        <w:rPr/>
      </w:pPr>
      <w:r>
        <w:rPr>
          <w:b/>
        </w:rPr>
        <w:t>Открытая часть электронной площадки</w:t>
      </w:r>
      <w:r>
        <w:rPr/>
        <w:t xml:space="preserve"> – раздел электронной площадки, находящийся в открытом доступе, не требующий регистрации на электронной площадке для работы в нём.</w:t>
      </w:r>
    </w:p>
    <w:p>
      <w:pPr>
        <w:pStyle w:val="BodyText"/>
        <w:ind w:firstLine="851" w:left="0" w:right="57"/>
        <w:rPr/>
      </w:pPr>
      <w:r>
        <w:rPr>
          <w:b/>
        </w:rPr>
        <w:t>Закрытая часть электронной площадки</w:t>
      </w:r>
      <w:r>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pPr>
        <w:pStyle w:val="BodyText"/>
        <w:ind w:firstLine="851" w:left="0" w:right="57"/>
        <w:rPr/>
      </w:pPr>
      <w:r>
        <w:rPr>
          <w:b/>
        </w:rPr>
        <w:t>Электронная подпись</w:t>
      </w:r>
      <w:r>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pPr>
        <w:pStyle w:val="BodyText"/>
        <w:ind w:firstLine="851" w:left="0" w:right="57"/>
        <w:rPr/>
      </w:pPr>
      <w:r>
        <w:rPr>
          <w:b/>
        </w:rPr>
        <w:t>Электронный документ</w:t>
      </w:r>
      <w:r>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pPr>
        <w:pStyle w:val="BodyText"/>
        <w:ind w:firstLine="851" w:left="0" w:right="57"/>
        <w:rPr/>
      </w:pPr>
      <w:r>
        <w:rPr>
          <w:b/>
        </w:rPr>
        <w:t>Электронный образ документа</w:t>
      </w:r>
      <w:r>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pPr>
        <w:pStyle w:val="BodyText"/>
        <w:ind w:firstLine="851" w:left="0" w:right="57"/>
        <w:rPr/>
      </w:pPr>
      <w:r>
        <w:rPr>
          <w:b/>
        </w:rPr>
        <w:t>Электронное сообщение (электронное уведомление)</w:t>
      </w:r>
      <w:r>
        <w:rPr/>
        <w:t xml:space="preserve"> – информация, направляемая пользователями электронной площадки друг другу в процессе работы на электронной площадке.</w:t>
      </w:r>
    </w:p>
    <w:p>
      <w:pPr>
        <w:pStyle w:val="BodyText"/>
        <w:ind w:firstLine="851" w:left="0" w:right="57"/>
        <w:rPr/>
      </w:pPr>
      <w:r>
        <w:rPr>
          <w:b/>
        </w:rPr>
        <w:t>Электронный журнал</w:t>
      </w:r>
      <w:r>
        <w:rPr/>
        <w:t xml:space="preserve"> – электронный документ, в котором Оператором посредством программных и технических средств электронной площадки фиксируется ход проведения процедуры продажи посредством  </w:t>
      </w:r>
      <w:r>
        <w:rPr>
          <w:rFonts w:ascii="TimesNewRoman" w:hAnsi="TimesNewRoman"/>
        </w:rPr>
        <w:t>публичного предложения.</w:t>
      </w:r>
    </w:p>
    <w:p>
      <w:pPr>
        <w:pStyle w:val="BodyText"/>
        <w:ind w:firstLine="851" w:left="0" w:right="57"/>
        <w:rPr/>
      </w:pPr>
      <w:r>
        <w:rPr>
          <w:b/>
        </w:rPr>
        <w:t>«Личный кабинет»</w:t>
      </w:r>
      <w:r>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pPr>
        <w:pStyle w:val="BodyText"/>
        <w:spacing w:lineRule="auto" w:line="264"/>
        <w:ind w:firstLine="720" w:left="0" w:right="57"/>
        <w:rPr>
          <w:b/>
        </w:rPr>
      </w:pPr>
      <w:r>
        <w:rPr>
          <w:b/>
        </w:rPr>
        <w:t>Официальные сайты по продаже имущества</w:t>
      </w:r>
      <w:r>
        <w:rPr/>
        <w:t xml:space="preserve"> - официальный сайт Российской Федерации для размещения информации о проведении торгов в сети «Интернет» www.torgi.gov.ru, официальный сайт Росимущества в сети «Интернет» </w:t>
      </w:r>
      <w:hyperlink r:id="rId2">
        <w:r>
          <w:rPr/>
          <w:t>www.rosim.ru</w:t>
        </w:r>
      </w:hyperlink>
      <w:r>
        <w:rPr/>
        <w:t>, сайт Оператора в сети «Интернет» (электронной площадки) https://privatization.lot-online.ru/, официальный сайт продавца в сети «Интернет» https://tu40.rosim.ru/.</w:t>
      </w:r>
    </w:p>
    <w:p>
      <w:pPr>
        <w:pStyle w:val="BodyText"/>
        <w:spacing w:lineRule="auto" w:line="264"/>
        <w:ind w:firstLine="720" w:left="0" w:right="57"/>
        <w:jc w:val="center"/>
        <w:rPr>
          <w:b/>
        </w:rPr>
      </w:pPr>
      <w:r>
        <w:rPr>
          <w:b/>
        </w:rPr>
        <w:t>2. Правовое регулирование</w:t>
      </w:r>
    </w:p>
    <w:p>
      <w:pPr>
        <w:pStyle w:val="Normal"/>
        <w:ind w:firstLine="709" w:left="0" w:right="57"/>
        <w:jc w:val="both"/>
        <w:rPr/>
      </w:pPr>
      <w:r>
        <w:rPr/>
        <w:t>Продажа посредством публичного предложения проводится в соответствии с:</w:t>
      </w:r>
    </w:p>
    <w:p>
      <w:pPr>
        <w:pStyle w:val="Normal"/>
        <w:ind w:firstLine="709" w:left="0" w:right="57"/>
        <w:jc w:val="both"/>
        <w:rPr/>
      </w:pPr>
      <w:r>
        <w:rPr/>
        <w:t>- Гражданским кодексом Российской Федерации;</w:t>
      </w:r>
    </w:p>
    <w:p>
      <w:pPr>
        <w:pStyle w:val="Normal"/>
        <w:ind w:firstLine="709" w:left="0" w:right="57"/>
        <w:jc w:val="both"/>
        <w:rPr/>
      </w:pPr>
      <w:r>
        <w:rPr/>
        <w:t>- Федеральным законом от 21 декабря 2001 г. № 178-ФЗ «О приватизации государственного и муниципального имущества»;</w:t>
      </w:r>
    </w:p>
    <w:p>
      <w:pPr>
        <w:pStyle w:val="Normal"/>
        <w:ind w:firstLine="709" w:left="0" w:right="57"/>
        <w:jc w:val="both"/>
        <w:rPr/>
      </w:pPr>
      <w:r>
        <w:rP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pPr>
        <w:pStyle w:val="BodyText"/>
        <w:ind w:firstLine="709" w:left="0" w:right="57"/>
        <w:rPr/>
      </w:pPr>
      <w:r>
        <w:rPr/>
        <w:t>- распоряжением МТУ Росимущества об условиях приватизации;</w:t>
      </w:r>
    </w:p>
    <w:p>
      <w:pPr>
        <w:pStyle w:val="Normal"/>
        <w:ind w:firstLine="709" w:left="0" w:right="57"/>
        <w:jc w:val="both"/>
        <w:rPr/>
      </w:pPr>
      <w:r>
        <w:rPr/>
        <w:t>- иными нормативными правовыми актами Российской Федерации.</w:t>
      </w:r>
    </w:p>
    <w:p>
      <w:pPr>
        <w:pStyle w:val="BodyText"/>
        <w:spacing w:lineRule="auto" w:line="264"/>
        <w:ind w:firstLine="720" w:left="0" w:right="57"/>
        <w:rPr>
          <w:sz w:val="28"/>
        </w:rPr>
      </w:pPr>
      <w:r>
        <w:rPr>
          <w:sz w:val="28"/>
        </w:rPr>
      </w:r>
      <w:r>
        <w:br w:type="page"/>
      </w:r>
    </w:p>
    <w:p>
      <w:pPr>
        <w:pStyle w:val="BodyText"/>
        <w:numPr>
          <w:ilvl w:val="0"/>
          <w:numId w:val="2"/>
        </w:numPr>
        <w:spacing w:lineRule="auto" w:line="264" w:before="0" w:after="0"/>
        <w:ind w:hanging="360" w:left="720" w:right="57"/>
        <w:jc w:val="center"/>
        <w:rPr>
          <w:b/>
        </w:rPr>
      </w:pPr>
      <w:r>
        <w:rPr>
          <w:b/>
        </w:rPr>
        <w:t>Сведения о продаже посредством публичного предложения</w:t>
      </w:r>
    </w:p>
    <w:p>
      <w:pPr>
        <w:pStyle w:val="BodyText"/>
        <w:tabs>
          <w:tab w:val="clear" w:pos="709"/>
          <w:tab w:val="left" w:pos="0" w:leader="none"/>
        </w:tabs>
        <w:ind w:firstLine="709" w:left="0" w:right="57"/>
        <w:rPr/>
      </w:pPr>
      <w:r>
        <w:rPr>
          <w:b/>
        </w:rPr>
        <w:t>3.1.</w:t>
      </w:r>
      <w:r>
        <w:rPr/>
        <w:t xml:space="preserve"> </w:t>
      </w:r>
      <w:r>
        <w:rPr>
          <w:b/>
        </w:rPr>
        <w:t xml:space="preserve">Основание </w:t>
      </w:r>
      <w:r>
        <w:rPr>
          <w:b/>
          <w:shd w:fill="auto" w:val="clear"/>
        </w:rPr>
        <w:t>проведения торгов –</w:t>
      </w:r>
      <w:r>
        <w:rPr>
          <w:shd w:fill="auto" w:val="clear"/>
        </w:rPr>
        <w:t xml:space="preserve"> распоряжение Межрегионального территориального управления Федерального агентство по управлению государственным имуществом в Калужской, Брянской и Смоленской</w:t>
      </w:r>
      <w:r>
        <w:rPr>
          <w:rFonts w:eastAsia="Droid Sans Fallback" w:cs="Droid Sans Devanagari"/>
          <w:color w:val="000000"/>
          <w:spacing w:val="0"/>
          <w:kern w:val="0"/>
          <w:sz w:val="24"/>
          <w:szCs w:val="20"/>
          <w:shd w:fill="auto" w:val="clear"/>
          <w:lang w:val="ru-RU" w:eastAsia="zh-CN" w:bidi="hi-IN"/>
        </w:rPr>
        <w:t xml:space="preserve"> област</w:t>
      </w:r>
      <w:r>
        <w:rPr>
          <w:rFonts w:eastAsia="Droid Sans Fallback" w:cs="Droid Sans Devanagari"/>
          <w:color w:val="000000"/>
          <w:spacing w:val="0"/>
          <w:kern w:val="0"/>
          <w:sz w:val="24"/>
          <w:szCs w:val="20"/>
          <w:shd w:fill="auto" w:val="clear"/>
          <w:lang w:val="ru-RU" w:eastAsia="zh-CN" w:bidi="hi-IN"/>
        </w:rPr>
        <w:t xml:space="preserve">ях </w:t>
      </w:r>
      <w:r>
        <w:rPr>
          <w:rFonts w:eastAsia="Droid Sans Fallback" w:cs="Droid Sans Devanagari"/>
          <w:b w:val="false"/>
          <w:bCs w:val="false"/>
          <w:color w:val="000000"/>
          <w:spacing w:val="0"/>
          <w:kern w:val="0"/>
          <w:sz w:val="24"/>
          <w:szCs w:val="24"/>
          <w:shd w:fill="auto" w:val="clear"/>
          <w:lang w:val="ru-RU" w:eastAsia="zh-CN" w:bidi="hi-IN"/>
        </w:rPr>
        <w:t>от 13.03.20</w:t>
      </w:r>
      <w:r>
        <w:rPr>
          <w:rFonts w:eastAsia="Droid Sans Fallback" w:cs="Droid Sans Devanagari"/>
          <w:b w:val="false"/>
          <w:bCs w:val="false"/>
          <w:color w:val="000000"/>
          <w:spacing w:val="0"/>
          <w:kern w:val="0"/>
          <w:sz w:val="24"/>
          <w:szCs w:val="24"/>
          <w:shd w:fill="auto" w:val="clear"/>
          <w:lang w:val="ru-RU" w:eastAsia="zh-CN" w:bidi="hi-IN"/>
        </w:rPr>
        <w:t>26 № 40-9</w:t>
      </w:r>
      <w:r>
        <w:rPr>
          <w:rFonts w:eastAsia="Droid Sans Fallback" w:cs="Droid Sans Devanagari"/>
          <w:b w:val="false"/>
          <w:bCs w:val="false"/>
          <w:color w:val="000000"/>
          <w:spacing w:val="0"/>
          <w:kern w:val="0"/>
          <w:sz w:val="24"/>
          <w:szCs w:val="24"/>
          <w:shd w:fill="auto" w:val="clear"/>
          <w:lang w:val="ru-RU" w:eastAsia="zh-CN" w:bidi="hi-IN"/>
        </w:rPr>
        <w:t>2</w:t>
      </w:r>
      <w:r>
        <w:rPr>
          <w:rFonts w:eastAsia="Droid Sans Fallback" w:cs="Droid Sans Devanagari"/>
          <w:b w:val="false"/>
          <w:bCs w:val="false"/>
          <w:color w:val="000000"/>
          <w:spacing w:val="0"/>
          <w:kern w:val="0"/>
          <w:sz w:val="24"/>
          <w:szCs w:val="24"/>
          <w:shd w:fill="auto" w:val="clear"/>
          <w:lang w:val="ru-RU" w:eastAsia="zh-CN" w:bidi="hi-IN"/>
        </w:rPr>
        <w:t>-р «</w:t>
      </w:r>
      <w:r>
        <w:rPr>
          <w:rFonts w:eastAsia="Droid Sans Fallback" w:cs="Droid Sans Devanagari"/>
          <w:b w:val="false"/>
          <w:bCs w:val="false"/>
          <w:color w:val="000000"/>
          <w:spacing w:val="0"/>
          <w:kern w:val="0"/>
          <w:sz w:val="24"/>
          <w:szCs w:val="24"/>
          <w:shd w:fill="auto" w:val="clear"/>
          <w:lang w:val="ru-RU" w:eastAsia="zh-CN" w:bidi="hi-IN"/>
        </w:rPr>
        <w:t>Об условиях приватизации земельного участка площадью 10458 кв.м, с кадастровым номером 32:31:0030201:32, с расположенными на нем объектами недвижимого имущества: казарма № 1 с кадастровым номером 32:31:0030201:80, казарма с кадастровым номером 32:31:0030201:40, по адресу: Брянская область, г.о. Новозыбковский, г. Новозыбков, ул. Коммунистическая, д. 104»</w:t>
      </w:r>
    </w:p>
    <w:p>
      <w:pPr>
        <w:pStyle w:val="BodyText"/>
        <w:tabs>
          <w:tab w:val="clear" w:pos="709"/>
          <w:tab w:val="left" w:pos="0" w:leader="none"/>
        </w:tabs>
        <w:ind w:firstLine="709" w:left="0" w:right="57"/>
        <w:rPr/>
      </w:pPr>
      <w:r>
        <w:rPr>
          <w:b/>
        </w:rPr>
        <w:t>3.2. Собственник выставляемого на торги имущества -</w:t>
      </w:r>
      <w:r>
        <w:rPr/>
        <w:t xml:space="preserve"> Российская Федерация.</w:t>
      </w:r>
    </w:p>
    <w:p>
      <w:pPr>
        <w:pStyle w:val="Normal"/>
        <w:tabs>
          <w:tab w:val="clear" w:pos="709"/>
          <w:tab w:val="left" w:pos="0" w:leader="none"/>
        </w:tabs>
        <w:ind w:firstLine="709" w:left="0" w:right="0"/>
        <w:jc w:val="both"/>
        <w:rPr>
          <w:b/>
        </w:rPr>
      </w:pPr>
      <w:r>
        <w:rPr>
          <w:b/>
        </w:rPr>
        <w:t>3.3. Оператор торгов:</w:t>
      </w:r>
    </w:p>
    <w:p>
      <w:pPr>
        <w:pStyle w:val="Normal"/>
        <w:ind w:firstLine="709" w:left="0" w:right="57"/>
        <w:jc w:val="both"/>
        <w:rPr>
          <w:rFonts w:ascii="Times New Roman CYR" w:hAnsi="Times New Roman CYR"/>
        </w:rPr>
      </w:pPr>
      <w:r>
        <w:rPr>
          <w:rFonts w:ascii="Times New Roman CYR" w:hAnsi="Times New Roman CYR"/>
        </w:rPr>
        <w:t>Наименование – Акционерное общество «Российский аукционный дом» (АО «РАД»)</w:t>
      </w:r>
    </w:p>
    <w:p>
      <w:pPr>
        <w:pStyle w:val="Normal"/>
        <w:ind w:firstLine="709" w:left="0" w:right="57"/>
        <w:jc w:val="both"/>
        <w:rPr>
          <w:rFonts w:ascii="Times New Roman CYR" w:hAnsi="Times New Roman CYR"/>
        </w:rPr>
      </w:pPr>
      <w:r>
        <w:rPr>
          <w:rFonts w:ascii="Times New Roman CYR" w:hAnsi="Times New Roman CYR"/>
        </w:rPr>
        <w:t xml:space="preserve">Адрес - 190000, г. Санкт-Петербург, пер. Гривцова, д.5, лит. В </w:t>
      </w:r>
    </w:p>
    <w:p>
      <w:pPr>
        <w:pStyle w:val="Normal"/>
        <w:ind w:firstLine="709" w:left="0" w:right="57"/>
        <w:jc w:val="both"/>
        <w:rPr>
          <w:rFonts w:ascii="Times New Roman CYR" w:hAnsi="Times New Roman CYR"/>
        </w:rPr>
      </w:pPr>
      <w:r>
        <w:rPr>
          <w:rFonts w:ascii="Times New Roman CYR" w:hAnsi="Times New Roman CYR"/>
        </w:rPr>
        <w:t>Сайт - https://privatization.lot-online.ru/</w:t>
      </w:r>
    </w:p>
    <w:p>
      <w:pPr>
        <w:pStyle w:val="Normal"/>
        <w:ind w:firstLine="709" w:left="0" w:right="57"/>
        <w:jc w:val="both"/>
        <w:rPr>
          <w:b/>
        </w:rPr>
      </w:pPr>
      <w:r>
        <w:rPr>
          <w:b/>
        </w:rPr>
        <w:t>3.4. Продавец:</w:t>
      </w:r>
    </w:p>
    <w:p>
      <w:pPr>
        <w:pStyle w:val="BodyText2111"/>
        <w:tabs>
          <w:tab w:val="clear" w:pos="284"/>
          <w:tab w:val="left" w:pos="0" w:leader="none"/>
        </w:tabs>
        <w:ind w:firstLine="709" w:left="0" w:right="57"/>
        <w:rPr/>
      </w:pPr>
      <w:r>
        <w:rPr>
          <w:b/>
        </w:rPr>
        <w:t>Наименование</w:t>
      </w:r>
      <w:r>
        <w:rPr/>
        <w:t xml:space="preserve"> – Межрегиональное территориальное управление Федерального агентство по управлению государственным имуществом в Калужской, Брянской и Смоленской областях.</w:t>
      </w:r>
    </w:p>
    <w:p>
      <w:pPr>
        <w:pStyle w:val="BodyText2111"/>
        <w:tabs>
          <w:tab w:val="clear" w:pos="284"/>
          <w:tab w:val="left" w:pos="0" w:leader="none"/>
        </w:tabs>
        <w:ind w:firstLine="709" w:left="0" w:right="57"/>
        <w:rPr/>
      </w:pPr>
      <w:r>
        <w:rPr/>
        <w:t>Адрес – Калужская обл, г. Калуга, ул. Баженова, д. 2.</w:t>
      </w:r>
    </w:p>
    <w:p>
      <w:pPr>
        <w:pStyle w:val="BodyText2111"/>
        <w:tabs>
          <w:tab w:val="clear" w:pos="284"/>
          <w:tab w:val="left" w:pos="0" w:leader="none"/>
        </w:tabs>
        <w:ind w:firstLine="709" w:left="0" w:right="57"/>
        <w:rPr/>
      </w:pPr>
      <w:r>
        <w:rPr/>
        <w:t>Сайт – https://tu40.rosim.ru/</w:t>
      </w:r>
    </w:p>
    <w:p>
      <w:pPr>
        <w:pStyle w:val="BodyText2111"/>
        <w:tabs>
          <w:tab w:val="clear" w:pos="284"/>
          <w:tab w:val="left" w:pos="0" w:leader="none"/>
        </w:tabs>
        <w:ind w:firstLine="709" w:left="0" w:right="57"/>
        <w:rPr/>
      </w:pPr>
      <w:r>
        <w:rPr/>
        <w:t>Телефон – (4842) 57- 51- 51</w:t>
      </w:r>
    </w:p>
    <w:p>
      <w:pPr>
        <w:pStyle w:val="BodyText2111"/>
        <w:tabs>
          <w:tab w:val="clear" w:pos="284"/>
          <w:tab w:val="left" w:pos="0" w:leader="none"/>
        </w:tabs>
        <w:spacing w:lineRule="auto" w:line="264"/>
        <w:ind w:firstLine="709" w:left="0" w:right="57"/>
        <w:rPr/>
      </w:pPr>
      <w:r>
        <w:rPr>
          <w:b/>
        </w:rPr>
        <w:t>3.5. Форма продажи (способ приватизации) –</w:t>
      </w:r>
      <w:r>
        <w:rPr/>
        <w:t xml:space="preserve"> продажа посредством публичного предложения в электронной форме.</w:t>
      </w:r>
    </w:p>
    <w:p>
      <w:pPr>
        <w:pStyle w:val="BodyText2111"/>
        <w:tabs>
          <w:tab w:val="clear" w:pos="284"/>
          <w:tab w:val="left" w:pos="0" w:leader="none"/>
        </w:tabs>
        <w:spacing w:lineRule="auto" w:line="264"/>
        <w:ind w:firstLine="709" w:left="0" w:right="0"/>
        <w:rPr>
          <w:b/>
        </w:rPr>
      </w:pPr>
      <w:r>
        <w:rPr>
          <w:b/>
        </w:rPr>
        <w:t xml:space="preserve">3.6. Сведения об Имуществе (лоте), выставляемом на продажу посредством публичного предложения в электронной форме: </w:t>
      </w:r>
    </w:p>
    <w:p>
      <w:pPr>
        <w:pStyle w:val="BodyText2111"/>
        <w:tabs>
          <w:tab w:val="clear" w:pos="284"/>
        </w:tabs>
        <w:ind w:firstLine="709" w:left="0" w:right="0"/>
        <w:rPr>
          <w:highlight w:val="none"/>
          <w:shd w:fill="auto" w:val="clear"/>
        </w:rPr>
      </w:pPr>
      <w:r>
        <w:rPr>
          <w:b/>
          <w:shd w:fill="auto" w:val="clear"/>
        </w:rPr>
        <w:t>3.6.1. Наименование выставляемого на продажу Имущества (лота):</w:t>
      </w:r>
    </w:p>
    <w:p>
      <w:pPr>
        <w:pStyle w:val="Normal"/>
        <w:spacing w:lineRule="auto" w:line="276"/>
        <w:ind w:firstLine="720" w:left="0" w:right="0"/>
        <w:jc w:val="both"/>
        <w:rPr>
          <w:highlight w:val="none"/>
          <w:shd w:fill="FFFF00" w:val="clear"/>
        </w:rPr>
      </w:pPr>
      <w:r>
        <w:rPr>
          <w:b w:val="false"/>
          <w:bCs w:val="false"/>
          <w:color w:val="000000"/>
          <w:spacing w:val="0"/>
          <w:kern w:val="0"/>
          <w:sz w:val="24"/>
          <w:szCs w:val="24"/>
          <w:u w:val="none"/>
        </w:rPr>
        <w:t xml:space="preserve">Земельный участок площадью 10458 кв. м, с кадастровым номером 32:31:0030201:32 (реестровый номер федерального имущества  П11340001022), по адресу: Брянская область,                  г.о. Новозыбковский, г. Новозыбков, ул. Коммунистическая, д. 104, с расположенными на нем объектами недвижимого имущества - </w:t>
      </w:r>
      <w:r>
        <w:rPr>
          <w:b w:val="false"/>
          <w:bCs w:val="false"/>
          <w:i w:val="false"/>
          <w:strike w:val="false"/>
          <w:dstrike w:val="false"/>
          <w:outline w:val="false"/>
          <w:shadow w:val="false"/>
          <w:color w:val="000000"/>
          <w:spacing w:val="0"/>
          <w:kern w:val="0"/>
          <w:sz w:val="24"/>
          <w:szCs w:val="24"/>
          <w:u w:val="none"/>
          <w:em w:val="none"/>
        </w:rPr>
        <w:t>казарма № 1 площадью 1095,2 кв.м с кадастровым номером 32:31:0030201:80 (реестровый номер федерального имущества П12340000254)</w:t>
      </w:r>
      <w:r>
        <w:rPr>
          <w:b w:val="false"/>
          <w:bCs w:val="false"/>
          <w:color w:val="000000"/>
          <w:spacing w:val="0"/>
          <w:kern w:val="0"/>
          <w:sz w:val="24"/>
          <w:szCs w:val="24"/>
          <w:u w:val="none"/>
        </w:rPr>
        <w:t xml:space="preserve">, </w:t>
      </w:r>
      <w:r>
        <w:rPr>
          <w:b w:val="false"/>
          <w:bCs w:val="false"/>
          <w:i w:val="false"/>
          <w:strike w:val="false"/>
          <w:dstrike w:val="false"/>
          <w:outline w:val="false"/>
          <w:shadow w:val="false"/>
          <w:color w:val="000000"/>
          <w:spacing w:val="0"/>
          <w:kern w:val="0"/>
          <w:sz w:val="24"/>
          <w:szCs w:val="24"/>
          <w:u w:val="none"/>
          <w:em w:val="none"/>
        </w:rPr>
        <w:t>казарма площадью 1089,6 кв.м с кадастровым номером 32:31:0030201:40 (реестровый номер федерального имущества П12340000253).</w:t>
      </w:r>
    </w:p>
    <w:p>
      <w:pPr>
        <w:pStyle w:val="Normal"/>
        <w:jc w:val="both"/>
        <w:rPr>
          <w:highlight w:val="none"/>
          <w:shd w:fill="auto" w:val="clear"/>
        </w:rPr>
      </w:pPr>
      <w:r>
        <w:rPr>
          <w:b/>
          <w:shd w:fill="auto" w:val="clear"/>
        </w:rPr>
        <w:t>Характеристика земельного участка</w:t>
      </w:r>
      <w:r>
        <w:rPr>
          <w:shd w:fill="auto" w:val="clear"/>
        </w:rPr>
        <w:t>.</w:t>
      </w:r>
    </w:p>
    <w:tbl>
      <w:tblPr>
        <w:tblpPr w:vertAnchor="text" w:horzAnchor="margin" w:tblpXSpec="center" w:leftFromText="180" w:rightFromText="180" w:tblpY="152"/>
        <w:tblW w:w="9776"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3112"/>
        <w:gridCol w:w="6663"/>
      </w:tblGrid>
      <w:tr>
        <w:trPr>
          <w:trHeight w:val="45" w:hRule="atLeast"/>
        </w:trPr>
        <w:tc>
          <w:tcPr>
            <w:tcW w:w="3112" w:type="dxa"/>
            <w:tcBorders>
              <w:top w:val="single" w:sz="2" w:space="0" w:color="000000"/>
              <w:left w:val="single" w:sz="2" w:space="0" w:color="000000"/>
              <w:bottom w:val="single" w:sz="2" w:space="0" w:color="000000"/>
            </w:tcBorders>
            <w:vAlign w:val="center"/>
          </w:tcPr>
          <w:p>
            <w:pPr>
              <w:pStyle w:val="Normal"/>
              <w:rPr>
                <w:highlight w:val="none"/>
                <w:shd w:fill="auto" w:val="clear"/>
              </w:rPr>
            </w:pPr>
            <w:r>
              <w:rPr>
                <w:rFonts w:eastAsia="Calibri"/>
                <w:sz w:val="20"/>
                <w:shd w:fill="auto" w:val="clear"/>
                <w:lang w:eastAsia="en-US" w:bidi="ar-SA"/>
              </w:rPr>
              <w:t>Адрес:</w:t>
            </w:r>
          </w:p>
        </w:tc>
        <w:tc>
          <w:tcPr>
            <w:tcW w:w="6663" w:type="dxa"/>
            <w:tcBorders>
              <w:top w:val="single" w:sz="2" w:space="0" w:color="000000"/>
              <w:left w:val="single" w:sz="2" w:space="0" w:color="000000"/>
              <w:bottom w:val="single" w:sz="2" w:space="0" w:color="000000"/>
              <w:right w:val="single" w:sz="2" w:space="0" w:color="000000"/>
            </w:tcBorders>
            <w:vAlign w:val="center"/>
          </w:tcPr>
          <w:p>
            <w:pPr>
              <w:pStyle w:val="Normal"/>
              <w:rPr>
                <w:highlight w:val="none"/>
                <w:shd w:fill="auto" w:val="clear"/>
              </w:rPr>
            </w:pPr>
            <w:r>
              <w:rPr>
                <w:rFonts w:eastAsia="Calibri"/>
                <w:b w:val="false"/>
                <w:bCs w:val="false"/>
                <w:color w:val="000000"/>
                <w:spacing w:val="0"/>
                <w:kern w:val="0"/>
                <w:sz w:val="20"/>
                <w:szCs w:val="20"/>
                <w:u w:val="none"/>
                <w:shd w:fill="auto" w:val="clear"/>
                <w:lang w:eastAsia="en-US" w:bidi="ar-SA"/>
              </w:rPr>
              <w:t>Брянская область, городской округ Новозыбковский, город Новозыбков, улица Коммунистическая, дом 104</w:t>
            </w:r>
          </w:p>
        </w:tc>
      </w:tr>
      <w:tr>
        <w:trPr>
          <w:trHeight w:val="45" w:hRule="atLeast"/>
        </w:trPr>
        <w:tc>
          <w:tcPr>
            <w:tcW w:w="3112" w:type="dxa"/>
            <w:tcBorders>
              <w:left w:val="single" w:sz="2" w:space="0" w:color="000000"/>
              <w:bottom w:val="single" w:sz="2" w:space="0" w:color="000000"/>
            </w:tcBorders>
            <w:vAlign w:val="center"/>
          </w:tcPr>
          <w:p>
            <w:pPr>
              <w:pStyle w:val="Normal"/>
              <w:rPr>
                <w:highlight w:val="none"/>
                <w:shd w:fill="auto" w:val="clear"/>
              </w:rPr>
            </w:pPr>
            <w:r>
              <w:rPr>
                <w:rFonts w:eastAsia="Calibri"/>
                <w:sz w:val="20"/>
                <w:shd w:fill="auto" w:val="clear"/>
                <w:lang w:eastAsia="en-US" w:bidi="ar-SA"/>
              </w:rPr>
              <w:t>Номер РФИ:</w:t>
            </w:r>
          </w:p>
        </w:tc>
        <w:tc>
          <w:tcPr>
            <w:tcW w:w="6663" w:type="dxa"/>
            <w:tcBorders>
              <w:left w:val="single" w:sz="2" w:space="0" w:color="000000"/>
              <w:bottom w:val="single" w:sz="2" w:space="0" w:color="000000"/>
              <w:right w:val="single" w:sz="2" w:space="0" w:color="000000"/>
            </w:tcBorders>
            <w:vAlign w:val="center"/>
          </w:tcPr>
          <w:p>
            <w:pPr>
              <w:pStyle w:val="Normal"/>
              <w:spacing w:lineRule="auto" w:line="276"/>
              <w:ind w:hanging="0" w:left="0" w:right="0"/>
              <w:jc w:val="both"/>
              <w:rPr>
                <w:highlight w:val="none"/>
                <w:shd w:fill="FFFF00" w:val="clear"/>
              </w:rPr>
            </w:pPr>
            <w:r>
              <w:rPr>
                <w:rFonts w:eastAsia="Calibri"/>
                <w:b w:val="false"/>
                <w:bCs w:val="false"/>
                <w:i w:val="false"/>
                <w:strike w:val="false"/>
                <w:dstrike w:val="false"/>
                <w:outline w:val="false"/>
                <w:shadow w:val="false"/>
                <w:color w:val="000000"/>
                <w:spacing w:val="0"/>
                <w:kern w:val="0"/>
                <w:sz w:val="20"/>
                <w:szCs w:val="20"/>
                <w:u w:val="single"/>
                <w:shd w:fill="auto" w:val="clear"/>
                <w:em w:val="none"/>
                <w:lang w:eastAsia="en-US"/>
              </w:rPr>
              <w:t>П11340001022</w:t>
            </w:r>
          </w:p>
        </w:tc>
      </w:tr>
      <w:tr>
        <w:trPr>
          <w:trHeight w:val="45" w:hRule="atLeast"/>
        </w:trPr>
        <w:tc>
          <w:tcPr>
            <w:tcW w:w="3112" w:type="dxa"/>
            <w:tcBorders>
              <w:left w:val="single" w:sz="2" w:space="0" w:color="000000"/>
              <w:bottom w:val="single" w:sz="2" w:space="0" w:color="000000"/>
            </w:tcBorders>
            <w:vAlign w:val="center"/>
          </w:tcPr>
          <w:p>
            <w:pPr>
              <w:pStyle w:val="Normal"/>
              <w:rPr>
                <w:highlight w:val="none"/>
                <w:shd w:fill="auto" w:val="clear"/>
              </w:rPr>
            </w:pPr>
            <w:r>
              <w:rPr>
                <w:rFonts w:eastAsia="Calibri"/>
                <w:sz w:val="20"/>
                <w:shd w:fill="auto" w:val="clear"/>
                <w:lang w:eastAsia="en-US" w:bidi="ar-SA"/>
              </w:rPr>
              <w:t>Кадастровый номер:</w:t>
            </w:r>
          </w:p>
        </w:tc>
        <w:tc>
          <w:tcPr>
            <w:tcW w:w="6663" w:type="dxa"/>
            <w:tcBorders>
              <w:left w:val="single" w:sz="2" w:space="0" w:color="000000"/>
              <w:bottom w:val="single" w:sz="2" w:space="0" w:color="000000"/>
              <w:right w:val="single" w:sz="2" w:space="0" w:color="000000"/>
            </w:tcBorders>
            <w:vAlign w:val="center"/>
          </w:tcPr>
          <w:p>
            <w:pPr>
              <w:pStyle w:val="Normal"/>
              <w:spacing w:lineRule="auto" w:line="276"/>
              <w:ind w:hanging="0" w:left="0" w:right="0"/>
              <w:jc w:val="both"/>
              <w:rPr>
                <w:highlight w:val="none"/>
                <w:shd w:fill="FFFF00" w:val="clear"/>
              </w:rPr>
            </w:pPr>
            <w:r>
              <w:rPr>
                <w:rFonts w:eastAsia="Calibri"/>
                <w:b w:val="false"/>
                <w:bCs w:val="false"/>
                <w:color w:val="000000"/>
                <w:spacing w:val="0"/>
                <w:kern w:val="0"/>
                <w:sz w:val="20"/>
                <w:szCs w:val="20"/>
                <w:u w:val="single"/>
                <w:shd w:fill="auto" w:val="clear"/>
                <w:lang w:eastAsia="en-US"/>
              </w:rPr>
              <w:t>32:31:0030201:32</w:t>
            </w:r>
          </w:p>
        </w:tc>
      </w:tr>
      <w:tr>
        <w:trPr>
          <w:trHeight w:val="45" w:hRule="atLeast"/>
        </w:trPr>
        <w:tc>
          <w:tcPr>
            <w:tcW w:w="3112" w:type="dxa"/>
            <w:tcBorders>
              <w:left w:val="single" w:sz="2" w:space="0" w:color="000000"/>
              <w:bottom w:val="single" w:sz="2" w:space="0" w:color="000000"/>
            </w:tcBorders>
            <w:vAlign w:val="center"/>
          </w:tcPr>
          <w:p>
            <w:pPr>
              <w:pStyle w:val="Normal"/>
              <w:rPr>
                <w:highlight w:val="none"/>
                <w:shd w:fill="auto" w:val="clear"/>
              </w:rPr>
            </w:pPr>
            <w:r>
              <w:rPr>
                <w:rFonts w:eastAsia="Calibri"/>
                <w:sz w:val="20"/>
                <w:shd w:fill="auto" w:val="clear"/>
                <w:lang w:eastAsia="en-US" w:bidi="ar-SA"/>
              </w:rPr>
              <w:t>Общая площадь (кв. м.):</w:t>
            </w:r>
          </w:p>
        </w:tc>
        <w:tc>
          <w:tcPr>
            <w:tcW w:w="6663" w:type="dxa"/>
            <w:tcBorders>
              <w:left w:val="single" w:sz="2" w:space="0" w:color="000000"/>
              <w:bottom w:val="single" w:sz="2" w:space="0" w:color="000000"/>
              <w:right w:val="single" w:sz="2" w:space="0" w:color="000000"/>
            </w:tcBorders>
            <w:vAlign w:val="center"/>
          </w:tcPr>
          <w:p>
            <w:pPr>
              <w:pStyle w:val="Normal"/>
              <w:rPr>
                <w:highlight w:val="none"/>
                <w:shd w:fill="auto" w:val="clear"/>
              </w:rPr>
            </w:pPr>
            <w:r>
              <w:rPr>
                <w:rFonts w:eastAsia="Calibri"/>
                <w:color w:val="000000"/>
                <w:sz w:val="20"/>
                <w:shd w:fill="auto" w:val="clear"/>
                <w:lang w:eastAsia="en-US" w:bidi="ar-SA"/>
              </w:rPr>
              <w:t>10458</w:t>
            </w:r>
          </w:p>
        </w:tc>
      </w:tr>
      <w:tr>
        <w:trPr>
          <w:trHeight w:val="45" w:hRule="atLeast"/>
        </w:trPr>
        <w:tc>
          <w:tcPr>
            <w:tcW w:w="3112" w:type="dxa"/>
            <w:tcBorders>
              <w:left w:val="single" w:sz="2" w:space="0" w:color="000000"/>
              <w:bottom w:val="single" w:sz="2" w:space="0" w:color="000000"/>
            </w:tcBorders>
            <w:vAlign w:val="center"/>
          </w:tcPr>
          <w:p>
            <w:pPr>
              <w:pStyle w:val="Normal"/>
              <w:tabs>
                <w:tab w:val="clear" w:pos="709"/>
                <w:tab w:val="left" w:pos="797" w:leader="none"/>
              </w:tabs>
              <w:rPr>
                <w:highlight w:val="none"/>
                <w:shd w:fill="auto" w:val="clear"/>
              </w:rPr>
            </w:pPr>
            <w:r>
              <w:rPr>
                <w:rFonts w:eastAsia="Calibri"/>
                <w:sz w:val="20"/>
                <w:shd w:fill="auto" w:val="clear"/>
                <w:lang w:eastAsia="en-US" w:bidi="ar-SA"/>
              </w:rPr>
              <w:t>Категория земель:</w:t>
            </w:r>
          </w:p>
        </w:tc>
        <w:tc>
          <w:tcPr>
            <w:tcW w:w="6663" w:type="dxa"/>
            <w:tcBorders>
              <w:left w:val="single" w:sz="2" w:space="0" w:color="000000"/>
              <w:bottom w:val="single" w:sz="2" w:space="0" w:color="000000"/>
              <w:right w:val="single" w:sz="2" w:space="0" w:color="000000"/>
            </w:tcBorders>
            <w:vAlign w:val="center"/>
          </w:tcPr>
          <w:p>
            <w:pPr>
              <w:pStyle w:val="Normal"/>
              <w:tabs>
                <w:tab w:val="clear" w:pos="709"/>
                <w:tab w:val="left" w:pos="797" w:leader="none"/>
              </w:tabs>
              <w:rPr>
                <w:highlight w:val="none"/>
                <w:shd w:fill="auto" w:val="clear"/>
              </w:rPr>
            </w:pPr>
            <w:r>
              <w:rPr>
                <w:rFonts w:eastAsia="Calibri"/>
                <w:color w:val="000000"/>
                <w:sz w:val="20"/>
                <w:shd w:fill="auto" w:val="clear"/>
                <w:lang w:eastAsia="en-US" w:bidi="ar-SA"/>
              </w:rPr>
              <w:t>Земли населенных пунктов</w:t>
            </w:r>
          </w:p>
        </w:tc>
      </w:tr>
      <w:tr>
        <w:trPr>
          <w:trHeight w:val="45" w:hRule="atLeast"/>
        </w:trPr>
        <w:tc>
          <w:tcPr>
            <w:tcW w:w="3112" w:type="dxa"/>
            <w:tcBorders>
              <w:left w:val="single" w:sz="2" w:space="0" w:color="000000"/>
              <w:bottom w:val="single" w:sz="2" w:space="0" w:color="000000"/>
            </w:tcBorders>
            <w:vAlign w:val="center"/>
          </w:tcPr>
          <w:p>
            <w:pPr>
              <w:pStyle w:val="Normal"/>
              <w:tabs>
                <w:tab w:val="clear" w:pos="709"/>
                <w:tab w:val="left" w:pos="797" w:leader="none"/>
              </w:tabs>
              <w:rPr>
                <w:highlight w:val="none"/>
                <w:shd w:fill="auto" w:val="clear"/>
              </w:rPr>
            </w:pPr>
            <w:r>
              <w:rPr>
                <w:rFonts w:eastAsia="Calibri"/>
                <w:sz w:val="20"/>
                <w:shd w:fill="auto" w:val="clear"/>
                <w:lang w:eastAsia="en-US" w:bidi="ar-SA"/>
              </w:rPr>
              <w:t>Разрешенное использование:</w:t>
            </w:r>
          </w:p>
        </w:tc>
        <w:tc>
          <w:tcPr>
            <w:tcW w:w="6663" w:type="dxa"/>
            <w:tcBorders>
              <w:left w:val="single" w:sz="2" w:space="0" w:color="000000"/>
              <w:bottom w:val="single" w:sz="2" w:space="0" w:color="000000"/>
              <w:right w:val="single" w:sz="2" w:space="0" w:color="000000"/>
            </w:tcBorders>
            <w:vAlign w:val="center"/>
          </w:tcPr>
          <w:p>
            <w:pPr>
              <w:pStyle w:val="Normal"/>
              <w:tabs>
                <w:tab w:val="clear" w:pos="709"/>
                <w:tab w:val="left" w:pos="797" w:leader="none"/>
              </w:tabs>
              <w:rPr>
                <w:highlight w:val="none"/>
                <w:shd w:fill="auto" w:val="clear"/>
              </w:rPr>
            </w:pPr>
            <w:r>
              <w:rPr>
                <w:rFonts w:eastAsia="Calibri"/>
                <w:color w:val="000000"/>
                <w:sz w:val="20"/>
                <w:shd w:fill="auto" w:val="clear"/>
                <w:lang w:eastAsia="en-US" w:bidi="ar-SA"/>
              </w:rPr>
              <w:t>Образование и просвещение (3.5), деловое управление (4.1)</w:t>
            </w:r>
          </w:p>
        </w:tc>
      </w:tr>
      <w:tr>
        <w:trPr>
          <w:trHeight w:val="45" w:hRule="atLeast"/>
        </w:trPr>
        <w:tc>
          <w:tcPr>
            <w:tcW w:w="3112" w:type="dxa"/>
            <w:tcBorders>
              <w:left w:val="single" w:sz="2" w:space="0" w:color="000000"/>
              <w:bottom w:val="single" w:sz="2" w:space="0" w:color="000000"/>
            </w:tcBorders>
            <w:vAlign w:val="center"/>
          </w:tcPr>
          <w:p>
            <w:pPr>
              <w:pStyle w:val="Normal"/>
              <w:rPr>
                <w:highlight w:val="none"/>
                <w:shd w:fill="auto" w:val="clear"/>
              </w:rPr>
            </w:pPr>
            <w:r>
              <w:rPr>
                <w:rFonts w:eastAsia="Calibri"/>
                <w:sz w:val="20"/>
                <w:shd w:fill="auto" w:val="clear"/>
                <w:lang w:eastAsia="en-US" w:bidi="ar-SA"/>
              </w:rPr>
              <w:t>Право:</w:t>
            </w:r>
          </w:p>
        </w:tc>
        <w:tc>
          <w:tcPr>
            <w:tcW w:w="6663" w:type="dxa"/>
            <w:tcBorders>
              <w:left w:val="single" w:sz="2" w:space="0" w:color="000000"/>
              <w:bottom w:val="single" w:sz="2" w:space="0" w:color="000000"/>
              <w:right w:val="single" w:sz="2" w:space="0" w:color="000000"/>
            </w:tcBorders>
            <w:vAlign w:val="center"/>
          </w:tcPr>
          <w:p>
            <w:pPr>
              <w:pStyle w:val="Normal"/>
              <w:rPr>
                <w:highlight w:val="none"/>
                <w:shd w:fill="auto" w:val="clear"/>
              </w:rPr>
            </w:pPr>
            <w:r>
              <w:rPr>
                <w:rFonts w:eastAsia="Calibri"/>
                <w:color w:val="000000"/>
                <w:sz w:val="20"/>
                <w:shd w:fill="auto" w:val="clear"/>
                <w:lang w:eastAsia="en-US" w:bidi="ar-SA"/>
              </w:rPr>
              <w:t>Собственность РФ</w:t>
            </w:r>
          </w:p>
        </w:tc>
      </w:tr>
      <w:tr>
        <w:trPr>
          <w:trHeight w:val="155" w:hRule="atLeast"/>
        </w:trPr>
        <w:tc>
          <w:tcPr>
            <w:tcW w:w="3112" w:type="dxa"/>
            <w:tcBorders>
              <w:left w:val="single" w:sz="2" w:space="0" w:color="000000"/>
              <w:bottom w:val="single" w:sz="2" w:space="0" w:color="000000"/>
            </w:tcBorders>
            <w:vAlign w:val="center"/>
          </w:tcPr>
          <w:p>
            <w:pPr>
              <w:pStyle w:val="Normal"/>
              <w:rPr>
                <w:highlight w:val="none"/>
                <w:shd w:fill="auto" w:val="clear"/>
              </w:rPr>
            </w:pPr>
            <w:r>
              <w:rPr>
                <w:rFonts w:eastAsia="Calibri"/>
                <w:sz w:val="20"/>
                <w:shd w:fill="auto" w:val="clear"/>
                <w:lang w:eastAsia="en-US" w:bidi="ar-SA"/>
              </w:rPr>
              <w:t>Обременения:</w:t>
            </w:r>
          </w:p>
        </w:tc>
        <w:tc>
          <w:tcPr>
            <w:tcW w:w="6663" w:type="dxa"/>
            <w:tcBorders>
              <w:left w:val="single" w:sz="2" w:space="0" w:color="000000"/>
              <w:bottom w:val="single" w:sz="2" w:space="0" w:color="000000"/>
              <w:right w:val="single" w:sz="2" w:space="0" w:color="000000"/>
            </w:tcBorders>
            <w:vAlign w:val="center"/>
          </w:tcPr>
          <w:p>
            <w:pPr>
              <w:pStyle w:val="Normal"/>
              <w:rPr>
                <w:highlight w:val="none"/>
                <w:shd w:fill="auto" w:val="clear"/>
              </w:rPr>
            </w:pPr>
            <w:r>
              <w:rPr>
                <w:rFonts w:eastAsia="Calibri"/>
                <w:color w:val="000000"/>
                <w:sz w:val="20"/>
                <w:shd w:fill="auto" w:val="clear"/>
                <w:lang w:eastAsia="en-US" w:bidi="ar-SA"/>
              </w:rPr>
              <w:t>не зарегистрировано</w:t>
            </w:r>
          </w:p>
        </w:tc>
      </w:tr>
      <w:tr>
        <w:trPr>
          <w:trHeight w:val="45" w:hRule="atLeast"/>
        </w:trPr>
        <w:tc>
          <w:tcPr>
            <w:tcW w:w="3112" w:type="dxa"/>
            <w:tcBorders>
              <w:left w:val="single" w:sz="2" w:space="0" w:color="000000"/>
              <w:bottom w:val="single" w:sz="2" w:space="0" w:color="000000"/>
            </w:tcBorders>
            <w:vAlign w:val="center"/>
          </w:tcPr>
          <w:p>
            <w:pPr>
              <w:pStyle w:val="Normal"/>
              <w:rPr>
                <w:highlight w:val="none"/>
                <w:shd w:fill="auto" w:val="clear"/>
              </w:rPr>
            </w:pPr>
            <w:r>
              <w:rPr>
                <w:rFonts w:eastAsia="Calibri"/>
                <w:sz w:val="20"/>
                <w:shd w:fill="auto" w:val="clear"/>
                <w:lang w:eastAsia="en-US" w:bidi="ar-SA"/>
              </w:rPr>
              <w:t>Правоустанавливающие документы:</w:t>
            </w:r>
          </w:p>
        </w:tc>
        <w:tc>
          <w:tcPr>
            <w:tcW w:w="6663" w:type="dxa"/>
            <w:tcBorders>
              <w:left w:val="single" w:sz="2" w:space="0" w:color="000000"/>
              <w:bottom w:val="single" w:sz="2" w:space="0" w:color="000000"/>
              <w:right w:val="single" w:sz="2" w:space="0" w:color="000000"/>
            </w:tcBorders>
            <w:vAlign w:val="center"/>
          </w:tcPr>
          <w:p>
            <w:pPr>
              <w:pStyle w:val="Normal"/>
              <w:tabs>
                <w:tab w:val="clear" w:pos="709"/>
                <w:tab w:val="left" w:pos="1335" w:leader="none"/>
                <w:tab w:val="left" w:pos="5656" w:leader="none"/>
              </w:tabs>
              <w:rPr>
                <w:highlight w:val="none"/>
                <w:shd w:fill="auto" w:val="clear"/>
              </w:rPr>
            </w:pPr>
            <w:r>
              <w:rPr>
                <w:rFonts w:eastAsia="Calibri"/>
                <w:color w:val="000000"/>
                <w:sz w:val="20"/>
                <w:shd w:fill="auto" w:val="clear"/>
                <w:lang w:eastAsia="en-US" w:bidi="ar-SA"/>
              </w:rPr>
              <w:t>Право собственности</w:t>
            </w:r>
          </w:p>
          <w:p>
            <w:pPr>
              <w:pStyle w:val="Normal"/>
              <w:tabs>
                <w:tab w:val="clear" w:pos="709"/>
                <w:tab w:val="left" w:pos="1335" w:leader="none"/>
                <w:tab w:val="left" w:pos="5656" w:leader="none"/>
              </w:tabs>
              <w:rPr>
                <w:highlight w:val="none"/>
                <w:shd w:fill="auto" w:val="clear"/>
              </w:rPr>
            </w:pPr>
            <w:r>
              <w:rPr>
                <w:rFonts w:eastAsia="Calibri"/>
                <w:color w:val="000000"/>
                <w:sz w:val="20"/>
                <w:shd w:fill="auto" w:val="clear"/>
                <w:lang w:eastAsia="en-US" w:bidi="ar-SA"/>
              </w:rPr>
              <w:t xml:space="preserve">№ </w:t>
            </w:r>
            <w:r>
              <w:rPr>
                <w:rFonts w:eastAsia="Calibri"/>
                <w:color w:val="000000"/>
                <w:sz w:val="20"/>
                <w:shd w:fill="auto" w:val="clear"/>
                <w:lang w:eastAsia="en-US" w:bidi="ar-SA"/>
              </w:rPr>
              <w:t>32-32-06/002/2008-255 от 19.03.2008</w:t>
            </w:r>
          </w:p>
        </w:tc>
      </w:tr>
    </w:tbl>
    <w:p>
      <w:pPr>
        <w:pStyle w:val="Normal"/>
        <w:jc w:val="both"/>
        <w:rPr>
          <w:highlight w:val="none"/>
          <w:shd w:fill="auto" w:val="clear"/>
        </w:rPr>
      </w:pPr>
      <w:r>
        <w:rPr>
          <w:shd w:fill="auto" w:val="clear"/>
        </w:rPr>
      </w:r>
    </w:p>
    <w:p>
      <w:pPr>
        <w:pStyle w:val="Normal"/>
        <w:jc w:val="both"/>
        <w:rPr>
          <w:highlight w:val="none"/>
          <w:shd w:fill="auto" w:val="clear"/>
        </w:rPr>
      </w:pPr>
      <w:r>
        <w:rPr>
          <w:b/>
          <w:shd w:fill="auto" w:val="clear"/>
        </w:rPr>
        <w:t>Характеристика объектов недвижимого имущества.</w:t>
      </w:r>
    </w:p>
    <w:p>
      <w:pPr>
        <w:pStyle w:val="Normal"/>
        <w:jc w:val="both"/>
        <w:rPr>
          <w:b/>
          <w:highlight w:val="none"/>
          <w:shd w:fill="FFFF00" w:val="clear"/>
        </w:rPr>
      </w:pPr>
      <w:r>
        <w:rPr>
          <w:b/>
          <w:shd w:fill="FFFF00" w:val="clear"/>
        </w:rPr>
      </w:r>
    </w:p>
    <w:tbl>
      <w:tblPr>
        <w:tblStyle w:val="26"/>
        <w:tblW w:w="9924"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3287"/>
        <w:gridCol w:w="6636"/>
      </w:tblGrid>
      <w:tr>
        <w:trPr>
          <w:trHeight w:val="45" w:hRule="atLeast"/>
        </w:trPr>
        <w:tc>
          <w:tcPr>
            <w:tcW w:w="3287" w:type="dxa"/>
            <w:tcBorders/>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Наименование:</w:t>
            </w:r>
          </w:p>
        </w:tc>
        <w:tc>
          <w:tcPr>
            <w:tcW w:w="6636" w:type="dxa"/>
            <w:tcBorders/>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Казарма № 1</w:t>
            </w:r>
          </w:p>
        </w:tc>
      </w:tr>
      <w:tr>
        <w:trPr>
          <w:trHeight w:val="45" w:hRule="atLeast"/>
        </w:trPr>
        <w:tc>
          <w:tcPr>
            <w:tcW w:w="3287" w:type="dxa"/>
            <w:tcBorders/>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Адрес:</w:t>
            </w:r>
          </w:p>
        </w:tc>
        <w:tc>
          <w:tcPr>
            <w:tcW w:w="6636" w:type="dxa"/>
            <w:tcBorders/>
          </w:tcPr>
          <w:p>
            <w:pPr>
              <w:pStyle w:val="Normal"/>
              <w:jc w:val="left"/>
              <w:rPr>
                <w:sz w:val="24"/>
                <w:highlight w:val="none"/>
                <w:shd w:fill="auto" w:val="clear"/>
              </w:rPr>
            </w:pPr>
            <w:r>
              <w:rPr>
                <w:rFonts w:eastAsia="Calibri"/>
                <w:b w:val="false"/>
                <w:bCs w:val="false"/>
                <w:color w:val="000000"/>
                <w:spacing w:val="0"/>
                <w:kern w:val="0"/>
                <w:sz w:val="20"/>
                <w:szCs w:val="20"/>
                <w:u w:val="none"/>
                <w:shd w:fill="auto" w:val="clear"/>
                <w:lang w:eastAsia="en-US" w:bidi="ar-SA"/>
              </w:rPr>
              <w:t>Брянская область, городской округ Новозыбковский, город Новозыбков, улица Коммунистическая, здание 104</w:t>
            </w:r>
          </w:p>
        </w:tc>
      </w:tr>
      <w:tr>
        <w:trPr>
          <w:trHeight w:val="295" w:hRule="atLeast"/>
        </w:trPr>
        <w:tc>
          <w:tcPr>
            <w:tcW w:w="3287" w:type="dxa"/>
            <w:tcBorders/>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Номер РФИ:</w:t>
            </w:r>
          </w:p>
        </w:tc>
        <w:tc>
          <w:tcPr>
            <w:tcW w:w="6636" w:type="dxa"/>
            <w:tcBorders/>
          </w:tcPr>
          <w:p>
            <w:pPr>
              <w:pStyle w:val="Normal"/>
              <w:spacing w:lineRule="auto" w:line="276"/>
              <w:ind w:hanging="0" w:left="0" w:right="0"/>
              <w:jc w:val="both"/>
              <w:rPr>
                <w:sz w:val="20"/>
                <w:szCs w:val="20"/>
                <w:highlight w:val="none"/>
                <w:u w:val="single"/>
                <w:shd w:fill="auto" w:val="clear"/>
              </w:rPr>
            </w:pPr>
            <w:r>
              <w:rPr>
                <w:rFonts w:eastAsia="Droid Sans Fallback" w:cs="Droid Sans Devanagari"/>
                <w:b w:val="false"/>
                <w:bCs w:val="false"/>
                <w:i w:val="false"/>
                <w:strike w:val="false"/>
                <w:dstrike w:val="false"/>
                <w:outline w:val="false"/>
                <w:shadow w:val="false"/>
                <w:color w:val="000000"/>
                <w:spacing w:val="0"/>
                <w:kern w:val="0"/>
                <w:sz w:val="20"/>
                <w:szCs w:val="20"/>
                <w:u w:val="single"/>
                <w:shd w:fill="auto" w:val="clear"/>
                <w:em w:val="none"/>
                <w:lang w:val="ru-RU" w:eastAsia="zh-CN" w:bidi="hi-IN"/>
              </w:rPr>
              <w:t>П12340000254</w:t>
            </w:r>
          </w:p>
        </w:tc>
      </w:tr>
      <w:tr>
        <w:trPr>
          <w:trHeight w:val="45" w:hRule="atLeast"/>
        </w:trPr>
        <w:tc>
          <w:tcPr>
            <w:tcW w:w="3287" w:type="dxa"/>
            <w:tcBorders/>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Кадастровый номер:</w:t>
            </w:r>
          </w:p>
        </w:tc>
        <w:tc>
          <w:tcPr>
            <w:tcW w:w="6636" w:type="dxa"/>
            <w:tcBorders/>
          </w:tcPr>
          <w:p>
            <w:pPr>
              <w:pStyle w:val="Normal"/>
              <w:spacing w:lineRule="auto" w:line="276"/>
              <w:ind w:hanging="0" w:left="0" w:right="0"/>
              <w:jc w:val="both"/>
              <w:rPr>
                <w:sz w:val="20"/>
                <w:szCs w:val="20"/>
                <w:highlight w:val="none"/>
                <w:u w:val="single"/>
                <w:shd w:fill="auto" w:val="clear"/>
              </w:rPr>
            </w:pPr>
            <w:r>
              <w:rPr>
                <w:rFonts w:eastAsia="Droid Sans Fallback" w:cs="Droid Sans Devanagari"/>
                <w:b w:val="false"/>
                <w:bCs w:val="false"/>
                <w:i w:val="false"/>
                <w:strike w:val="false"/>
                <w:dstrike w:val="false"/>
                <w:outline w:val="false"/>
                <w:shadow w:val="false"/>
                <w:color w:val="000000"/>
                <w:spacing w:val="0"/>
                <w:kern w:val="0"/>
                <w:sz w:val="20"/>
                <w:szCs w:val="20"/>
                <w:u w:val="single"/>
                <w:shd w:fill="auto" w:val="clear"/>
                <w:em w:val="none"/>
                <w:lang w:val="ru-RU" w:eastAsia="zh-CN" w:bidi="hi-IN"/>
              </w:rPr>
              <w:t>32:31:0030201:80</w:t>
            </w:r>
          </w:p>
        </w:tc>
      </w:tr>
      <w:tr>
        <w:trPr>
          <w:trHeight w:val="45" w:hRule="atLeast"/>
        </w:trPr>
        <w:tc>
          <w:tcPr>
            <w:tcW w:w="3287"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Площадь объекта (кв. м):</w:t>
            </w:r>
          </w:p>
        </w:tc>
        <w:tc>
          <w:tcPr>
            <w:tcW w:w="6636" w:type="dxa"/>
            <w:tcBorders/>
            <w:vAlign w:val="center"/>
          </w:tcPr>
          <w:p>
            <w:pPr>
              <w:pStyle w:val="Normal"/>
              <w:spacing w:lineRule="auto" w:line="276"/>
              <w:ind w:hanging="0" w:left="0" w:right="0"/>
              <w:jc w:val="both"/>
              <w:rPr>
                <w:sz w:val="24"/>
                <w:highlight w:val="none"/>
                <w:shd w:fill="auto" w:val="clear"/>
              </w:rPr>
            </w:pPr>
            <w:r>
              <w:rPr>
                <w:rFonts w:eastAsia="Droid Sans Fallback" w:cs="Droid Sans Devanagari"/>
                <w:b w:val="false"/>
                <w:bCs w:val="false"/>
                <w:color w:val="000000"/>
                <w:spacing w:val="0"/>
                <w:kern w:val="0"/>
                <w:sz w:val="20"/>
                <w:szCs w:val="20"/>
                <w:shd w:fill="auto" w:val="clear"/>
                <w:lang w:val="ru-RU" w:eastAsia="zh-CN" w:bidi="hi-IN"/>
              </w:rPr>
              <w:t>1095,2</w:t>
            </w:r>
          </w:p>
        </w:tc>
      </w:tr>
      <w:tr>
        <w:trPr>
          <w:trHeight w:val="45" w:hRule="atLeast"/>
        </w:trPr>
        <w:tc>
          <w:tcPr>
            <w:tcW w:w="3287"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Назначение:</w:t>
            </w:r>
          </w:p>
        </w:tc>
        <w:tc>
          <w:tcPr>
            <w:tcW w:w="6636"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Нежилое</w:t>
            </w:r>
          </w:p>
        </w:tc>
      </w:tr>
      <w:tr>
        <w:trPr>
          <w:trHeight w:val="412" w:hRule="atLeast"/>
        </w:trPr>
        <w:tc>
          <w:tcPr>
            <w:tcW w:w="3287"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Право:</w:t>
            </w:r>
          </w:p>
        </w:tc>
        <w:tc>
          <w:tcPr>
            <w:tcW w:w="6636"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Собственность РФ</w:t>
            </w:r>
          </w:p>
        </w:tc>
      </w:tr>
      <w:tr>
        <w:trPr>
          <w:trHeight w:val="45" w:hRule="atLeast"/>
        </w:trPr>
        <w:tc>
          <w:tcPr>
            <w:tcW w:w="3287"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Обременения:</w:t>
            </w:r>
          </w:p>
        </w:tc>
        <w:tc>
          <w:tcPr>
            <w:tcW w:w="6636"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не зарегистрировано</w:t>
            </w:r>
          </w:p>
        </w:tc>
      </w:tr>
      <w:tr>
        <w:trPr>
          <w:trHeight w:val="45" w:hRule="atLeast"/>
        </w:trPr>
        <w:tc>
          <w:tcPr>
            <w:tcW w:w="3287"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ОКН:</w:t>
            </w:r>
          </w:p>
        </w:tc>
        <w:tc>
          <w:tcPr>
            <w:tcW w:w="6636"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Как ОКН не зарегистрирован</w:t>
            </w:r>
          </w:p>
        </w:tc>
      </w:tr>
      <w:tr>
        <w:trPr>
          <w:trHeight w:val="45" w:hRule="atLeast"/>
        </w:trPr>
        <w:tc>
          <w:tcPr>
            <w:tcW w:w="3287"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МЧС:</w:t>
            </w:r>
          </w:p>
        </w:tc>
        <w:tc>
          <w:tcPr>
            <w:tcW w:w="6636"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Как объект ГО не числится</w:t>
            </w:r>
          </w:p>
        </w:tc>
      </w:tr>
      <w:tr>
        <w:trPr>
          <w:trHeight w:val="334" w:hRule="atLeast"/>
        </w:trPr>
        <w:tc>
          <w:tcPr>
            <w:tcW w:w="3287"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Правоустанавливающие документы:</w:t>
            </w:r>
          </w:p>
        </w:tc>
        <w:tc>
          <w:tcPr>
            <w:tcW w:w="6636"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Право собственности</w:t>
            </w:r>
          </w:p>
          <w:p>
            <w:pPr>
              <w:pStyle w:val="Normal"/>
              <w:widowControl/>
              <w:suppressAutoHyphens w:val="true"/>
              <w:spacing w:before="0" w:after="0"/>
              <w:jc w:val="left"/>
              <w:rPr>
                <w:highlight w:val="none"/>
                <w:shd w:fill="auto" w:val="clear"/>
              </w:rPr>
            </w:pPr>
            <w:r>
              <w:rPr>
                <w:rFonts w:eastAsia="Droid Sans Fallback" w:cs="Droid Sans Devanagari"/>
                <w:color w:val="000000"/>
                <w:kern w:val="0"/>
                <w:sz w:val="20"/>
                <w:szCs w:val="20"/>
                <w:shd w:fill="auto" w:val="clear"/>
                <w:lang w:val="ru-RU" w:eastAsia="zh-CN" w:bidi="hi-IN"/>
              </w:rPr>
              <w:t xml:space="preserve">№ </w:t>
            </w:r>
            <w:r>
              <w:rPr>
                <w:rFonts w:eastAsia="Droid Sans Fallback" w:cs="Droid Sans Devanagari"/>
                <w:color w:val="000000"/>
                <w:kern w:val="0"/>
                <w:sz w:val="20"/>
                <w:szCs w:val="20"/>
                <w:shd w:fill="auto" w:val="clear"/>
                <w:lang w:val="ru-RU" w:eastAsia="zh-CN" w:bidi="hi-IN"/>
              </w:rPr>
              <w:t>32-32/001-32/001/033/2016-622/1 от 29.03.2016</w:t>
            </w:r>
          </w:p>
        </w:tc>
      </w:tr>
    </w:tbl>
    <w:p>
      <w:pPr>
        <w:pStyle w:val="Normal"/>
        <w:tabs>
          <w:tab w:val="clear" w:pos="709"/>
          <w:tab w:val="left" w:pos="1335" w:leader="none"/>
          <w:tab w:val="left" w:pos="1455" w:leader="none"/>
        </w:tabs>
        <w:rPr>
          <w:highlight w:val="none"/>
          <w:shd w:fill="auto" w:val="clear"/>
        </w:rPr>
      </w:pPr>
      <w:r>
        <w:rPr>
          <w:shd w:fill="auto" w:val="clear"/>
        </w:rPr>
      </w:r>
    </w:p>
    <w:tbl>
      <w:tblPr>
        <w:tblStyle w:val="26"/>
        <w:tblW w:w="9924"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3264"/>
        <w:gridCol w:w="6659"/>
      </w:tblGrid>
      <w:tr>
        <w:trPr>
          <w:trHeight w:val="45" w:hRule="atLeast"/>
        </w:trPr>
        <w:tc>
          <w:tcPr>
            <w:tcW w:w="3264" w:type="dxa"/>
            <w:tcBorders/>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Наименование:</w:t>
            </w:r>
          </w:p>
        </w:tc>
        <w:tc>
          <w:tcPr>
            <w:tcW w:w="6659" w:type="dxa"/>
            <w:tcBorders/>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Казарма</w:t>
            </w:r>
          </w:p>
        </w:tc>
      </w:tr>
      <w:tr>
        <w:trPr>
          <w:trHeight w:val="45" w:hRule="atLeast"/>
        </w:trPr>
        <w:tc>
          <w:tcPr>
            <w:tcW w:w="3264" w:type="dxa"/>
            <w:tcBorders/>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Адрес:</w:t>
            </w:r>
          </w:p>
        </w:tc>
        <w:tc>
          <w:tcPr>
            <w:tcW w:w="6659" w:type="dxa"/>
            <w:tcBorders/>
          </w:tcPr>
          <w:p>
            <w:pPr>
              <w:pStyle w:val="Normal"/>
              <w:jc w:val="left"/>
              <w:rPr>
                <w:sz w:val="24"/>
                <w:highlight w:val="none"/>
                <w:shd w:fill="auto" w:val="clear"/>
              </w:rPr>
            </w:pPr>
            <w:r>
              <w:rPr>
                <w:rFonts w:eastAsia="Calibri"/>
                <w:b w:val="false"/>
                <w:bCs w:val="false"/>
                <w:color w:val="000000"/>
                <w:spacing w:val="0"/>
                <w:kern w:val="0"/>
                <w:sz w:val="20"/>
                <w:szCs w:val="20"/>
                <w:u w:val="none"/>
                <w:shd w:fill="auto" w:val="clear"/>
                <w:lang w:eastAsia="en-US" w:bidi="ar-SA"/>
              </w:rPr>
              <w:t>Брянская область, городской округ Новозыбковский, город Новозыбков, улица Коммунистическая, здание 104</w:t>
            </w:r>
          </w:p>
        </w:tc>
      </w:tr>
      <w:tr>
        <w:trPr>
          <w:trHeight w:val="295" w:hRule="atLeast"/>
        </w:trPr>
        <w:tc>
          <w:tcPr>
            <w:tcW w:w="3264" w:type="dxa"/>
            <w:tcBorders/>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Номер РФИ:</w:t>
            </w:r>
          </w:p>
        </w:tc>
        <w:tc>
          <w:tcPr>
            <w:tcW w:w="6659" w:type="dxa"/>
            <w:tcBorders/>
          </w:tcPr>
          <w:p>
            <w:pPr>
              <w:pStyle w:val="Normal"/>
              <w:spacing w:lineRule="auto" w:line="276"/>
              <w:ind w:hanging="0" w:left="0" w:right="0"/>
              <w:jc w:val="both"/>
              <w:rPr>
                <w:sz w:val="24"/>
                <w:highlight w:val="none"/>
                <w:shd w:fill="auto" w:val="clear"/>
              </w:rPr>
            </w:pPr>
            <w:r>
              <w:rPr>
                <w:rFonts w:eastAsia="Droid Sans Fallback" w:cs="Droid Sans Devanagari"/>
                <w:b w:val="false"/>
                <w:bCs w:val="false"/>
                <w:i w:val="false"/>
                <w:strike w:val="false"/>
                <w:dstrike w:val="false"/>
                <w:outline w:val="false"/>
                <w:shadow w:val="false"/>
                <w:color w:val="000000"/>
                <w:spacing w:val="0"/>
                <w:kern w:val="0"/>
                <w:sz w:val="20"/>
                <w:szCs w:val="20"/>
                <w:u w:val="single"/>
                <w:shd w:fill="auto" w:val="clear"/>
                <w:em w:val="none"/>
                <w:lang w:val="ru-RU" w:eastAsia="zh-CN" w:bidi="hi-IN"/>
              </w:rPr>
              <w:t>П12340000253</w:t>
            </w:r>
          </w:p>
        </w:tc>
      </w:tr>
      <w:tr>
        <w:trPr>
          <w:trHeight w:val="45" w:hRule="atLeast"/>
        </w:trPr>
        <w:tc>
          <w:tcPr>
            <w:tcW w:w="3264" w:type="dxa"/>
            <w:tcBorders/>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Кадастровый номер:</w:t>
            </w:r>
          </w:p>
        </w:tc>
        <w:tc>
          <w:tcPr>
            <w:tcW w:w="6659" w:type="dxa"/>
            <w:tcBorders/>
          </w:tcPr>
          <w:p>
            <w:pPr>
              <w:pStyle w:val="Normal"/>
              <w:spacing w:lineRule="auto" w:line="276"/>
              <w:ind w:hanging="0" w:left="0" w:right="0"/>
              <w:jc w:val="both"/>
              <w:rPr>
                <w:sz w:val="24"/>
                <w:highlight w:val="none"/>
                <w:shd w:fill="auto" w:val="clear"/>
              </w:rPr>
            </w:pPr>
            <w:r>
              <w:rPr>
                <w:rFonts w:eastAsia="Droid Sans Fallback" w:cs="Droid Sans Devanagari"/>
                <w:b w:val="false"/>
                <w:bCs w:val="false"/>
                <w:i w:val="false"/>
                <w:strike w:val="false"/>
                <w:dstrike w:val="false"/>
                <w:outline w:val="false"/>
                <w:shadow w:val="false"/>
                <w:color w:val="000000"/>
                <w:spacing w:val="0"/>
                <w:kern w:val="0"/>
                <w:sz w:val="20"/>
                <w:szCs w:val="20"/>
                <w:u w:val="single"/>
                <w:shd w:fill="auto" w:val="clear"/>
                <w:em w:val="none"/>
                <w:lang w:val="ru-RU" w:eastAsia="zh-CN" w:bidi="hi-IN"/>
              </w:rPr>
              <w:t>32:31:0030201:40</w:t>
            </w:r>
          </w:p>
        </w:tc>
      </w:tr>
      <w:tr>
        <w:trPr>
          <w:trHeight w:val="45" w:hRule="atLeast"/>
        </w:trPr>
        <w:tc>
          <w:tcPr>
            <w:tcW w:w="3264"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Площадь объекта (кв. м):</w:t>
            </w:r>
          </w:p>
        </w:tc>
        <w:tc>
          <w:tcPr>
            <w:tcW w:w="6659" w:type="dxa"/>
            <w:tcBorders/>
            <w:vAlign w:val="center"/>
          </w:tcPr>
          <w:p>
            <w:pPr>
              <w:pStyle w:val="Normal"/>
              <w:spacing w:lineRule="auto" w:line="276"/>
              <w:ind w:hanging="0" w:left="0" w:right="0"/>
              <w:jc w:val="both"/>
              <w:rPr>
                <w:sz w:val="24"/>
                <w:highlight w:val="none"/>
                <w:shd w:fill="auto" w:val="clear"/>
              </w:rPr>
            </w:pPr>
            <w:r>
              <w:rPr>
                <w:rFonts w:eastAsia="Droid Sans Fallback" w:cs="Droid Sans Devanagari"/>
                <w:b w:val="false"/>
                <w:bCs w:val="false"/>
                <w:color w:val="000000"/>
                <w:spacing w:val="0"/>
                <w:kern w:val="0"/>
                <w:sz w:val="20"/>
                <w:szCs w:val="20"/>
                <w:shd w:fill="auto" w:val="clear"/>
                <w:lang w:val="ru-RU" w:eastAsia="zh-CN" w:bidi="hi-IN"/>
              </w:rPr>
              <w:t>1089,6</w:t>
            </w:r>
          </w:p>
        </w:tc>
      </w:tr>
      <w:tr>
        <w:trPr>
          <w:trHeight w:val="45" w:hRule="atLeast"/>
        </w:trPr>
        <w:tc>
          <w:tcPr>
            <w:tcW w:w="3264"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Назначение:</w:t>
            </w:r>
          </w:p>
        </w:tc>
        <w:tc>
          <w:tcPr>
            <w:tcW w:w="6659"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Нежилое</w:t>
            </w:r>
          </w:p>
        </w:tc>
      </w:tr>
      <w:tr>
        <w:trPr>
          <w:trHeight w:val="412" w:hRule="atLeast"/>
        </w:trPr>
        <w:tc>
          <w:tcPr>
            <w:tcW w:w="3264"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Право:</w:t>
            </w:r>
          </w:p>
        </w:tc>
        <w:tc>
          <w:tcPr>
            <w:tcW w:w="6659"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Собственность РФ</w:t>
            </w:r>
          </w:p>
        </w:tc>
      </w:tr>
      <w:tr>
        <w:trPr>
          <w:trHeight w:val="45" w:hRule="atLeast"/>
        </w:trPr>
        <w:tc>
          <w:tcPr>
            <w:tcW w:w="3264"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Обременения:</w:t>
            </w:r>
          </w:p>
        </w:tc>
        <w:tc>
          <w:tcPr>
            <w:tcW w:w="6659"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не зарегистрировано</w:t>
            </w:r>
          </w:p>
        </w:tc>
      </w:tr>
      <w:tr>
        <w:trPr>
          <w:trHeight w:val="45" w:hRule="atLeast"/>
        </w:trPr>
        <w:tc>
          <w:tcPr>
            <w:tcW w:w="3264"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ОКН:</w:t>
            </w:r>
          </w:p>
        </w:tc>
        <w:tc>
          <w:tcPr>
            <w:tcW w:w="6659"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Как ОКН не зарегистрирован</w:t>
            </w:r>
          </w:p>
        </w:tc>
      </w:tr>
      <w:tr>
        <w:trPr>
          <w:trHeight w:val="45" w:hRule="atLeast"/>
        </w:trPr>
        <w:tc>
          <w:tcPr>
            <w:tcW w:w="3264"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МЧС:</w:t>
            </w:r>
          </w:p>
        </w:tc>
        <w:tc>
          <w:tcPr>
            <w:tcW w:w="6659"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Как объект ГО не числится</w:t>
            </w:r>
          </w:p>
        </w:tc>
      </w:tr>
      <w:tr>
        <w:trPr>
          <w:trHeight w:val="334" w:hRule="atLeast"/>
        </w:trPr>
        <w:tc>
          <w:tcPr>
            <w:tcW w:w="3264"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Правоустанавливающие документы:</w:t>
            </w:r>
          </w:p>
        </w:tc>
        <w:tc>
          <w:tcPr>
            <w:tcW w:w="6659"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Право собственности</w:t>
            </w:r>
          </w:p>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 xml:space="preserve">№ </w:t>
            </w:r>
            <w:r>
              <w:rPr>
                <w:rFonts w:eastAsia="Droid Sans Fallback" w:cs="Droid Sans Devanagari"/>
                <w:color w:val="000000"/>
                <w:kern w:val="0"/>
                <w:sz w:val="20"/>
                <w:szCs w:val="20"/>
                <w:shd w:fill="auto" w:val="clear"/>
                <w:lang w:val="ru-RU" w:eastAsia="zh-CN" w:bidi="hi-IN"/>
              </w:rPr>
              <w:t>32-32/001-32/001/033/2016-623/1 от 29.03.2016</w:t>
            </w:r>
          </w:p>
        </w:tc>
      </w:tr>
    </w:tbl>
    <w:p>
      <w:pPr>
        <w:pStyle w:val="Normal"/>
        <w:tabs>
          <w:tab w:val="clear" w:pos="709"/>
          <w:tab w:val="left" w:pos="1335" w:leader="none"/>
          <w:tab w:val="left" w:pos="1455" w:leader="none"/>
        </w:tabs>
        <w:rPr>
          <w:highlight w:val="none"/>
          <w:shd w:fill="auto" w:val="clear"/>
        </w:rPr>
      </w:pPr>
      <w:r>
        <w:rPr>
          <w:shd w:fill="auto" w:val="clear"/>
        </w:rPr>
      </w:r>
    </w:p>
    <w:p>
      <w:pPr>
        <w:pStyle w:val="BodyText2111"/>
        <w:ind w:hanging="0" w:left="284" w:right="0"/>
        <w:rPr/>
      </w:pPr>
      <w:r>
        <w:rPr>
          <w:b/>
          <w:shd w:fill="auto" w:val="clear"/>
        </w:rPr>
        <w:tab/>
        <w:t>3.7. Начальная цена (лота) –</w:t>
      </w:r>
      <w:r>
        <w:rPr>
          <w:rFonts w:eastAsia="Droid Sans Fallback" w:cs="Droid Sans Devanagari"/>
          <w:b w:val="false"/>
          <w:bCs w:val="false"/>
          <w:color w:val="000000"/>
          <w:spacing w:val="0"/>
          <w:kern w:val="0"/>
          <w:sz w:val="24"/>
          <w:szCs w:val="24"/>
          <w:shd w:fill="auto" w:val="clear"/>
          <w:lang w:val="ru-RU" w:eastAsia="zh-CN" w:bidi="hi-IN"/>
        </w:rPr>
        <w:t xml:space="preserve"> 2 239 833,33 р</w:t>
      </w:r>
      <w:r>
        <w:rPr>
          <w:rFonts w:eastAsia="Droid Sans Fallback" w:cs="Droid Sans Devanagari"/>
          <w:b w:val="false"/>
          <w:bCs w:val="false"/>
          <w:color w:val="000000"/>
          <w:kern w:val="0"/>
          <w:sz w:val="24"/>
          <w:szCs w:val="24"/>
          <w:shd w:fill="auto" w:val="clear"/>
          <w:lang w:val="ru-RU" w:eastAsia="zh-CN" w:bidi="hi-IN"/>
        </w:rPr>
        <w:t>убля (Два миллиона двести тридцать девять тысяч восемьсот тридцать три рубля 33 копейки)</w:t>
      </w:r>
      <w:r>
        <w:rPr>
          <w:rFonts w:eastAsia="Droid Sans Fallback" w:cs="Droid Sans Devanagari"/>
          <w:b w:val="false"/>
          <w:bCs w:val="false"/>
          <w:color w:val="000000"/>
          <w:spacing w:val="0"/>
          <w:kern w:val="0"/>
          <w:sz w:val="24"/>
          <w:szCs w:val="24"/>
          <w:shd w:fill="auto" w:val="clear"/>
          <w:lang w:val="ru-RU" w:eastAsia="zh-CN" w:bidi="hi-IN"/>
        </w:rPr>
        <w:t>, без учета НДС.</w:t>
      </w:r>
    </w:p>
    <w:p>
      <w:pPr>
        <w:pStyle w:val="BodyText2111"/>
        <w:ind w:hanging="0" w:left="284" w:right="0"/>
        <w:rPr>
          <w:highlight w:val="none"/>
          <w:shd w:fill="FFFF00" w:val="clear"/>
        </w:rPr>
      </w:pPr>
      <w:r>
        <w:rPr>
          <w:sz w:val="24"/>
          <w:szCs w:val="24"/>
          <w:shd w:fill="auto" w:val="clear"/>
        </w:rPr>
        <w:tab/>
      </w:r>
      <w:r>
        <w:rPr>
          <w:b/>
          <w:sz w:val="24"/>
          <w:szCs w:val="24"/>
          <w:shd w:fill="auto" w:val="clear"/>
        </w:rPr>
        <w:t>3.8. Минимальная цена предложения (цена отсечения), по которой может быть продано имущество —</w:t>
      </w:r>
      <w:r>
        <w:rPr>
          <w:b w:val="false"/>
          <w:bCs w:val="false"/>
          <w:sz w:val="24"/>
          <w:szCs w:val="24"/>
          <w:shd w:fill="auto" w:val="clear"/>
        </w:rPr>
        <w:t>1 119</w:t>
      </w:r>
      <w:r>
        <w:rPr>
          <w:rFonts w:eastAsia="Droid Sans Fallback" w:cs="Droid Sans Devanagari"/>
          <w:b w:val="false"/>
          <w:bCs w:val="false"/>
          <w:color w:val="000000"/>
          <w:spacing w:val="0"/>
          <w:kern w:val="0"/>
          <w:sz w:val="24"/>
          <w:szCs w:val="24"/>
          <w:shd w:fill="auto" w:val="clear"/>
          <w:lang w:val="ru-RU" w:eastAsia="zh-CN" w:bidi="hi-IN"/>
        </w:rPr>
        <w:t xml:space="preserve"> 916,68 рублей (Один миллион сто девятнадцать тысяч девятьсот шестнадцать рублей 68 копеек) (50%).</w:t>
      </w:r>
    </w:p>
    <w:p>
      <w:pPr>
        <w:pStyle w:val="BodyText2111"/>
        <w:ind w:hanging="0" w:left="284" w:right="0"/>
        <w:rPr>
          <w:highlight w:val="none"/>
          <w:shd w:fill="FFFF00" w:val="clear"/>
        </w:rPr>
      </w:pPr>
      <w:r>
        <w:rPr>
          <w:b/>
          <w:shd w:fill="auto" w:val="clear"/>
        </w:rPr>
        <w:tab/>
        <w:t>3.9. Величина снижения цены первоначального предложения («Шаг понижения») –</w:t>
      </w:r>
      <w:r>
        <w:rPr>
          <w:shd w:fill="auto" w:val="clear"/>
        </w:rPr>
        <w:t xml:space="preserve">  </w:t>
      </w:r>
      <w:r>
        <w:rPr>
          <w:rFonts w:eastAsia="Droid Sans Fallback" w:cs="Droid Sans Devanagari"/>
          <w:b w:val="false"/>
          <w:bCs w:val="false"/>
          <w:color w:val="000000"/>
          <w:spacing w:val="0"/>
          <w:kern w:val="0"/>
          <w:sz w:val="24"/>
          <w:szCs w:val="24"/>
          <w:shd w:fill="auto" w:val="clear"/>
          <w:lang w:val="ru-RU" w:eastAsia="zh-CN" w:bidi="hi-IN"/>
        </w:rPr>
        <w:t xml:space="preserve">223 983,33 рубля (Двести двадцать три тысячи девятьсот восемьдесят три рубля 33 копейки). 10% </w:t>
      </w:r>
    </w:p>
    <w:p>
      <w:pPr>
        <w:pStyle w:val="BodyText2111"/>
        <w:tabs>
          <w:tab w:val="clear" w:pos="284"/>
        </w:tabs>
        <w:ind w:firstLine="709" w:left="0" w:right="0"/>
        <w:rPr>
          <w:highlight w:val="none"/>
          <w:shd w:fill="FFFF00" w:val="clear"/>
        </w:rPr>
      </w:pPr>
      <w:r>
        <w:rPr>
          <w:b/>
          <w:shd w:fill="auto" w:val="clear"/>
        </w:rPr>
        <w:t>3.10. Шаг аукциона (величина повышения цены) –</w:t>
      </w:r>
      <w:r>
        <w:rPr>
          <w:shd w:fill="auto" w:val="clear"/>
        </w:rPr>
        <w:t xml:space="preserve"> </w:t>
      </w:r>
      <w:r>
        <w:rPr>
          <w:rFonts w:eastAsia="Droid Sans Fallback" w:cs="Droid Sans Devanagari"/>
          <w:b w:val="false"/>
          <w:bCs w:val="false"/>
          <w:color w:val="000000"/>
          <w:kern w:val="0"/>
          <w:sz w:val="24"/>
          <w:szCs w:val="24"/>
          <w:shd w:fill="auto" w:val="clear"/>
          <w:lang w:val="ru-RU" w:eastAsia="zh-CN" w:bidi="hi-IN"/>
        </w:rPr>
        <w:t>111 991,66 рубль (Сто одиннадцать  тысяч девятьсот девяносто один рубль 66 копеек). 5%</w:t>
      </w:r>
    </w:p>
    <w:p>
      <w:pPr>
        <w:pStyle w:val="BodyText2111"/>
        <w:tabs>
          <w:tab w:val="clear" w:pos="284"/>
        </w:tabs>
        <w:ind w:firstLine="709" w:left="0" w:right="0"/>
        <w:rPr>
          <w:highlight w:val="none"/>
          <w:shd w:fill="auto" w:val="clear"/>
        </w:rPr>
      </w:pPr>
      <w:r>
        <w:rPr>
          <w:b/>
          <w:bCs w:val="false"/>
          <w:color w:val="000000"/>
          <w:spacing w:val="0"/>
          <w:kern w:val="0"/>
          <w:sz w:val="24"/>
          <w:szCs w:val="24"/>
          <w:u w:val="none"/>
          <w:shd w:fill="auto" w:val="clear"/>
        </w:rPr>
        <w:t>3.11. Размер задатка –</w:t>
      </w:r>
      <w:r>
        <w:rPr>
          <w:rFonts w:eastAsia="Droid Sans Fallback" w:cs="Droid Sans Devanagari"/>
          <w:b w:val="false"/>
          <w:bCs w:val="false"/>
          <w:color w:val="000000"/>
          <w:spacing w:val="0"/>
          <w:kern w:val="0"/>
          <w:sz w:val="24"/>
          <w:szCs w:val="24"/>
          <w:u w:val="none"/>
          <w:shd w:fill="auto" w:val="clear"/>
          <w:lang w:val="ru-RU" w:eastAsia="zh-CN" w:bidi="hi-IN"/>
        </w:rPr>
        <w:t xml:space="preserve">223 983,33 рубля (Двести двадцать три тысячи девятьсот восемьдесят три рубля 33 копейки). 10% </w:t>
      </w:r>
    </w:p>
    <w:p>
      <w:pPr>
        <w:pStyle w:val="BodyText2111"/>
        <w:tabs>
          <w:tab w:val="clear" w:pos="284"/>
        </w:tabs>
        <w:ind w:firstLine="709" w:left="0" w:right="0"/>
        <w:rPr>
          <w:highlight w:val="none"/>
          <w:shd w:fill="FFFF00" w:val="clear"/>
        </w:rPr>
      </w:pPr>
      <w:r>
        <w:rPr>
          <w:b/>
          <w:shd w:fill="auto" w:val="clear"/>
        </w:rPr>
        <w:t>3.12. Срок внесения задатка –</w:t>
      </w:r>
      <w:r>
        <w:rPr>
          <w:shd w:fill="auto" w:val="clear"/>
        </w:rPr>
        <w:t xml:space="preserve"> с</w:t>
      </w:r>
      <w:r>
        <w:rPr>
          <w:b w:val="false"/>
          <w:shd w:fill="auto" w:val="clear"/>
        </w:rPr>
        <w:t xml:space="preserve"> </w:t>
      </w:r>
      <w:r>
        <w:rPr>
          <w:rFonts w:ascii="TimesNewRoman,Bold" w:hAnsi="TimesNewRoman,Bold"/>
          <w:b w:val="false"/>
          <w:shd w:fill="auto" w:val="clear"/>
        </w:rPr>
        <w:t>16 марта</w:t>
      </w:r>
      <w:r>
        <w:rPr>
          <w:shd w:fill="auto" w:val="clear"/>
        </w:rPr>
        <w:t xml:space="preserve"> 2026 г. по 12 </w:t>
      </w:r>
      <w:r>
        <w:rPr>
          <w:rFonts w:ascii="TimesNewRoman,Bold" w:hAnsi="TimesNewRoman,Bold"/>
          <w:shd w:fill="auto" w:val="clear"/>
        </w:rPr>
        <w:t>апреля</w:t>
      </w:r>
      <w:r>
        <w:rPr>
          <w:shd w:fill="auto" w:val="clear"/>
        </w:rPr>
        <w:t xml:space="preserve"> 2026 г. и должен поступить на указанный в Информационном сообщении счет не позднее 12</w:t>
      </w:r>
      <w:r>
        <w:rPr>
          <w:rFonts w:ascii="TimesNewRoman,Bold" w:hAnsi="TimesNewRoman,Bold"/>
          <w:shd w:fill="auto" w:val="clear"/>
        </w:rPr>
        <w:t xml:space="preserve"> апреля</w:t>
      </w:r>
      <w:r>
        <w:rPr>
          <w:shd w:fill="auto" w:val="clear"/>
        </w:rPr>
        <w:t xml:space="preserve"> 2026 г.</w:t>
      </w:r>
    </w:p>
    <w:p>
      <w:pPr>
        <w:pStyle w:val="BodyText2111"/>
        <w:tabs>
          <w:tab w:val="clear" w:pos="284"/>
        </w:tabs>
        <w:ind w:firstLine="709" w:left="0" w:right="0"/>
        <w:rPr>
          <w:highlight w:val="none"/>
          <w:shd w:fill="auto" w:val="clear"/>
        </w:rPr>
      </w:pPr>
      <w:r>
        <w:rPr>
          <w:shd w:fill="auto" w:val="clear"/>
        </w:rPr>
      </w:r>
    </w:p>
    <w:p>
      <w:pPr>
        <w:pStyle w:val="BodyText2111"/>
        <w:tabs>
          <w:tab w:val="clear" w:pos="284"/>
        </w:tabs>
        <w:ind w:firstLine="709" w:left="0" w:right="0"/>
        <w:rPr>
          <w:highlight w:val="none"/>
          <w:shd w:fill="FFFF00" w:val="clear"/>
        </w:rPr>
      </w:pPr>
      <w:r>
        <w:rPr>
          <w:shd w:fill="FFFF00" w:val="clear"/>
        </w:rPr>
      </w:r>
    </w:p>
    <w:p>
      <w:pPr>
        <w:pStyle w:val="BodyText2111"/>
        <w:ind w:firstLine="709" w:left="0" w:right="0"/>
        <w:rPr>
          <w:highlight w:val="none"/>
          <w:shd w:fill="auto" w:val="clear"/>
        </w:rPr>
      </w:pPr>
      <w:r>
        <w:rPr>
          <w:b/>
          <w:shd w:fill="auto" w:val="clear"/>
        </w:rPr>
        <w:t>3.13. Сведения о предыдущих торгах по продаже имущества, объявленных в течение года, предшествующего его продаже</w:t>
      </w:r>
    </w:p>
    <w:p>
      <w:pPr>
        <w:pStyle w:val="Normal"/>
        <w:tabs>
          <w:tab w:val="clear" w:pos="709"/>
          <w:tab w:val="left" w:pos="284" w:leader="none"/>
        </w:tabs>
        <w:ind w:firstLine="709" w:left="0" w:right="0"/>
        <w:jc w:val="both"/>
        <w:rPr>
          <w:highlight w:val="none"/>
          <w:shd w:fill="auto" w:val="clear"/>
        </w:rPr>
      </w:pPr>
      <w:r>
        <w:rPr>
          <w:bCs/>
          <w:szCs w:val="24"/>
          <w:shd w:fill="auto" w:val="clear"/>
        </w:rPr>
        <w:t>МТУ Росимущества ранее был проведен аукцион, который не состоялся в связи с отсутствием заявок.</w:t>
      </w:r>
    </w:p>
    <w:p>
      <w:pPr>
        <w:pStyle w:val="Normal"/>
        <w:tabs>
          <w:tab w:val="clear" w:pos="709"/>
          <w:tab w:val="left" w:pos="284" w:leader="none"/>
        </w:tabs>
        <w:ind w:firstLine="709" w:left="0" w:right="0"/>
        <w:jc w:val="both"/>
        <w:rPr>
          <w:rFonts w:ascii="TimesNewRoman,Bold" w:hAnsi="TimesNewRoman,Bold"/>
          <w:b/>
          <w:color w:val="000000"/>
          <w:highlight w:val="none"/>
          <w:shd w:fill="auto" w:val="clear"/>
        </w:rPr>
      </w:pPr>
      <w:r>
        <w:rPr>
          <w:rFonts w:ascii="TimesNewRoman,Bold" w:hAnsi="TimesNewRoman,Bold"/>
          <w:b/>
          <w:color w:val="000000"/>
          <w:shd w:fill="auto" w:val="clear"/>
        </w:rPr>
      </w:r>
    </w:p>
    <w:p>
      <w:pPr>
        <w:pStyle w:val="Normal"/>
        <w:tabs>
          <w:tab w:val="clear" w:pos="709"/>
          <w:tab w:val="left" w:pos="0" w:leader="none"/>
        </w:tabs>
        <w:ind w:firstLine="709" w:left="0" w:right="0"/>
        <w:jc w:val="center"/>
        <w:rPr>
          <w:highlight w:val="none"/>
          <w:shd w:fill="auto" w:val="clear"/>
        </w:rPr>
      </w:pPr>
      <w:r>
        <w:rPr>
          <w:rFonts w:ascii="TimesNewRoman,Bold" w:hAnsi="TimesNewRoman,Bold"/>
          <w:b/>
          <w:color w:val="000000"/>
          <w:shd w:fill="auto" w:val="clear"/>
        </w:rPr>
        <w:t>4. Место, сроки подачи (приема) заявок, определения участников и проведения</w:t>
      </w:r>
    </w:p>
    <w:p>
      <w:pPr>
        <w:pStyle w:val="Normal"/>
        <w:ind w:firstLine="709" w:left="0" w:right="0"/>
        <w:jc w:val="center"/>
        <w:rPr>
          <w:highlight w:val="none"/>
          <w:shd w:fill="auto" w:val="clear"/>
        </w:rPr>
      </w:pPr>
      <w:r>
        <w:rPr>
          <w:rFonts w:ascii="TimesNewRoman,Bold" w:hAnsi="TimesNewRoman,Bold"/>
          <w:b/>
          <w:color w:val="000000"/>
          <w:shd w:fill="auto" w:val="clear"/>
        </w:rPr>
        <w:t>продажи</w:t>
      </w:r>
    </w:p>
    <w:p>
      <w:pPr>
        <w:pStyle w:val="Normal"/>
        <w:ind w:firstLine="709" w:left="0" w:right="57"/>
        <w:jc w:val="both"/>
        <w:rPr>
          <w:highlight w:val="none"/>
          <w:shd w:fill="auto" w:val="clear"/>
        </w:rPr>
      </w:pPr>
      <w:r>
        <w:rPr>
          <w:rFonts w:ascii="TimesNewRoman,Bold" w:hAnsi="TimesNewRoman,Bold"/>
          <w:shd w:fill="auto" w:val="clear"/>
        </w:rPr>
        <w:t xml:space="preserve">4.1. Место подачи (приема) Заявок: </w:t>
      </w:r>
      <w:r>
        <w:rPr>
          <w:rFonts w:ascii="Times New Roman CYR" w:hAnsi="Times New Roman CYR"/>
          <w:shd w:fill="auto" w:val="clear"/>
        </w:rPr>
        <w:t>https://privatization.lot-online.ru/</w:t>
      </w:r>
    </w:p>
    <w:p>
      <w:pPr>
        <w:pStyle w:val="Normal"/>
        <w:tabs>
          <w:tab w:val="clear" w:pos="709"/>
          <w:tab w:val="left" w:pos="0" w:leader="none"/>
        </w:tabs>
        <w:ind w:firstLine="709" w:left="0" w:right="0"/>
        <w:jc w:val="both"/>
        <w:rPr>
          <w:highlight w:val="none"/>
          <w:shd w:fill="auto" w:val="clear"/>
        </w:rPr>
      </w:pPr>
      <w:r>
        <w:rPr>
          <w:rFonts w:ascii="TimesNewRoman,Bold" w:hAnsi="TimesNewRoman,Bold"/>
          <w:shd w:fill="auto" w:val="clear"/>
        </w:rPr>
        <w:t>4.2. Дата и время начала подачи (приема) Заявок: 16 марта 2026 г. в 12.00 по московскому времени;</w:t>
      </w:r>
    </w:p>
    <w:p>
      <w:pPr>
        <w:pStyle w:val="Normal"/>
        <w:ind w:firstLine="709" w:left="0" w:right="0"/>
        <w:jc w:val="both"/>
        <w:rPr>
          <w:highlight w:val="none"/>
          <w:shd w:fill="auto" w:val="clear"/>
        </w:rPr>
      </w:pPr>
      <w:r>
        <w:rPr>
          <w:rFonts w:ascii="TimesNewRoman" w:hAnsi="TimesNewRoman"/>
          <w:shd w:fill="auto" w:val="clear"/>
        </w:rPr>
        <w:t>Подача Заявок осуществляется круглосуточно.</w:t>
      </w:r>
    </w:p>
    <w:p>
      <w:pPr>
        <w:pStyle w:val="Normal"/>
        <w:ind w:firstLine="709" w:left="0" w:right="0"/>
        <w:jc w:val="both"/>
        <w:rPr>
          <w:highlight w:val="none"/>
          <w:shd w:fill="auto" w:val="clear"/>
        </w:rPr>
      </w:pPr>
      <w:r>
        <w:rPr>
          <w:rFonts w:ascii="TimesNewRoman,Bold" w:hAnsi="TimesNewRoman,Bold"/>
          <w:shd w:fill="auto" w:val="clear"/>
        </w:rPr>
        <w:t>4.3. Дата и время окончания подачи (приема) Заявок: 12 апреля 2026 г. в 23.55 по московскому времени.</w:t>
      </w:r>
    </w:p>
    <w:p>
      <w:pPr>
        <w:pStyle w:val="Normal"/>
        <w:ind w:firstLine="709" w:left="0" w:right="0"/>
        <w:jc w:val="both"/>
        <w:rPr>
          <w:highlight w:val="none"/>
          <w:shd w:fill="auto" w:val="clear"/>
        </w:rPr>
      </w:pPr>
      <w:r>
        <w:rPr>
          <w:rFonts w:ascii="TimesNewRoman,Bold" w:hAnsi="TimesNewRoman,Bold"/>
          <w:shd w:fill="auto" w:val="clear"/>
        </w:rPr>
        <w:t>4.4. Дата определения Участников: 14 апреля 2026 г.</w:t>
      </w:r>
    </w:p>
    <w:p>
      <w:pPr>
        <w:pStyle w:val="Normal"/>
        <w:ind w:firstLine="709" w:left="0" w:right="0"/>
        <w:jc w:val="both"/>
        <w:rPr>
          <w:highlight w:val="none"/>
          <w:shd w:fill="auto" w:val="clear"/>
        </w:rPr>
      </w:pPr>
      <w:r>
        <w:rPr>
          <w:rFonts w:ascii="TimesNewRoman,Bold" w:hAnsi="TimesNewRoman,Bold"/>
          <w:shd w:fill="auto" w:val="clear"/>
        </w:rPr>
        <w:t>4.5. Дата, время и срок проведения продажи 17 апреля 2026 г. с 10.00 по московскому времени и до последнего предложения Участников.</w:t>
      </w:r>
    </w:p>
    <w:p>
      <w:pPr>
        <w:pStyle w:val="Normal"/>
        <w:jc w:val="both"/>
        <w:rPr>
          <w:b/>
          <w:i/>
          <w:i/>
          <w:highlight w:val="none"/>
          <w:shd w:fill="auto" w:val="clear"/>
        </w:rPr>
      </w:pPr>
      <w:r>
        <w:rPr>
          <w:b/>
          <w:i/>
          <w:shd w:fill="auto" w:val="clear"/>
        </w:rPr>
      </w:r>
    </w:p>
    <w:p>
      <w:pPr>
        <w:pStyle w:val="Normal"/>
        <w:widowControl w:val="false"/>
        <w:spacing w:before="0" w:after="0"/>
        <w:ind w:firstLine="709" w:left="0" w:right="0"/>
        <w:contextualSpacing/>
        <w:jc w:val="center"/>
        <w:rPr>
          <w:b/>
        </w:rPr>
      </w:pPr>
      <w:r>
        <w:rPr>
          <w:b/>
        </w:rPr>
        <w:t>5. Срок и порядок регистрации на электронной площадке</w:t>
      </w:r>
    </w:p>
    <w:p>
      <w:pPr>
        <w:pStyle w:val="BodyText2111"/>
        <w:ind w:firstLine="709" w:left="0" w:right="0"/>
        <w:rPr/>
      </w:pPr>
      <w:r>
        <w:rPr/>
        <w:t>5.1. Для обеспечения доступа к участию продаже посредством публичного предложения в электронной форме Претендентам необходимо пройти процедуру регистрации в соответствии с Регламентом электронной площадки Оператора продажи.</w:t>
      </w:r>
    </w:p>
    <w:p>
      <w:pPr>
        <w:pStyle w:val="BodyText2111"/>
        <w:ind w:firstLine="709" w:left="0" w:right="0"/>
        <w:rPr/>
      </w:pPr>
      <w:r>
        <w:rPr/>
        <w:t>5.2. Дата и время регистрации на электронной площадке претендентов на участие в продаже посредством публичного предложения осуществляется ежедневно, круглосуточно, но не позднее даты и времени окончания подачи (приема) Заявок.</w:t>
      </w:r>
    </w:p>
    <w:p>
      <w:pPr>
        <w:pStyle w:val="BodyText2111"/>
        <w:ind w:firstLine="709" w:left="0" w:right="0"/>
        <w:rPr/>
      </w:pPr>
      <w:r>
        <w:rPr/>
        <w:t>5.3. Регистрация на электронной площадке осуществляется без взимания платы.</w:t>
      </w:r>
    </w:p>
    <w:p>
      <w:pPr>
        <w:pStyle w:val="BodyText2111"/>
        <w:ind w:firstLine="709" w:left="0" w:right="0"/>
        <w:rPr/>
      </w:pPr>
      <w:r>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pPr>
        <w:pStyle w:val="BodyText2111"/>
        <w:ind w:firstLine="709" w:left="0" w:right="0"/>
        <w:rPr/>
      </w:pPr>
      <w:r>
        <w:rPr/>
        <w:t>5.5. Регистрация на электронной площадке проводится в соответствии с Регламентом электронной площадки.</w:t>
      </w:r>
    </w:p>
    <w:p>
      <w:pPr>
        <w:pStyle w:val="BodyText2111"/>
        <w:ind w:firstLine="709" w:left="0" w:right="0"/>
        <w:rPr/>
      </w:pPr>
      <w:r>
        <w:rPr/>
      </w:r>
    </w:p>
    <w:p>
      <w:pPr>
        <w:pStyle w:val="BodyText2111"/>
        <w:numPr>
          <w:ilvl w:val="0"/>
          <w:numId w:val="3"/>
        </w:numPr>
        <w:tabs>
          <w:tab w:val="clear" w:pos="284"/>
        </w:tabs>
        <w:ind w:firstLine="851" w:left="0" w:right="0"/>
        <w:jc w:val="center"/>
        <w:rPr>
          <w:b/>
        </w:rPr>
      </w:pPr>
      <w:r>
        <w:rPr>
          <w:b/>
        </w:rPr>
        <w:t>Порядок подачи (приема) и отзыва заявок</w:t>
      </w:r>
    </w:p>
    <w:p>
      <w:pPr>
        <w:pStyle w:val="Normal"/>
        <w:tabs>
          <w:tab w:val="clear" w:pos="709"/>
          <w:tab w:val="left" w:pos="284" w:leader="none"/>
        </w:tabs>
        <w:ind w:firstLine="709" w:left="0" w:right="0"/>
        <w:jc w:val="both"/>
        <w:rPr/>
      </w:pPr>
      <w:r>
        <w:rPr/>
        <w:t xml:space="preserve">6.1. Прием заявок и прилагаемых к ним документов начинается с даты и времени, </w:t>
        <w:br/>
        <w:t>указанных в информационном сообщении о проведении продажи имущества, осуществляется в сроки, установленные в Информационном сообщении.</w:t>
      </w:r>
    </w:p>
    <w:p>
      <w:pPr>
        <w:pStyle w:val="Normal"/>
        <w:tabs>
          <w:tab w:val="clear" w:pos="709"/>
          <w:tab w:val="left" w:pos="284" w:leader="none"/>
        </w:tabs>
        <w:ind w:firstLine="709" w:left="0" w:right="0"/>
        <w:jc w:val="both"/>
        <w:rPr/>
      </w:pPr>
      <w:r>
        <w:rPr/>
        <w:t>6.2. Для участия в продаже имущества посредством публичного предложения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продажи посредством публичного предложения.</w:t>
      </w:r>
    </w:p>
    <w:p>
      <w:pPr>
        <w:pStyle w:val="Normal"/>
        <w:tabs>
          <w:tab w:val="clear" w:pos="709"/>
          <w:tab w:val="left" w:pos="284" w:leader="none"/>
        </w:tabs>
        <w:ind w:firstLine="709" w:left="0" w:right="0"/>
        <w:jc w:val="both"/>
        <w:rPr/>
      </w:pPr>
      <w:r>
        <w:rPr/>
        <w:t xml:space="preserve">6.3. Заявка (приложение № 1) подается путем заполнения ее электронной формы, </w:t>
        <w:br/>
        <w:t xml:space="preserve">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3">
        <w:r>
          <w:rPr/>
          <w:t>законом</w:t>
        </w:r>
      </w:hyperlink>
      <w:r>
        <w:rPr/>
        <w:t xml:space="preserve"> о приватизации от 21 декабря 2001 г. № 178-ФЗ «О приватизации государственного и муниципального имущества».</w:t>
      </w:r>
    </w:p>
    <w:p>
      <w:pPr>
        <w:pStyle w:val="Normal"/>
        <w:tabs>
          <w:tab w:val="clear" w:pos="709"/>
          <w:tab w:val="left" w:pos="284" w:leader="none"/>
        </w:tabs>
        <w:ind w:firstLine="709" w:left="0" w:right="0"/>
        <w:jc w:val="both"/>
        <w:rPr/>
      </w:pPr>
      <w:r>
        <w:rPr/>
        <w:t>6.4. Одно лицо имеет право подать только одну заявку.</w:t>
      </w:r>
    </w:p>
    <w:p>
      <w:pPr>
        <w:pStyle w:val="Normal"/>
        <w:tabs>
          <w:tab w:val="clear" w:pos="709"/>
          <w:tab w:val="left" w:pos="284" w:leader="none"/>
        </w:tabs>
        <w:ind w:firstLine="709" w:left="0" w:right="0"/>
        <w:jc w:val="both"/>
        <w:rPr/>
      </w:pPr>
      <w:r>
        <w:rPr/>
        <w:t>6.5. При приеме заявок от претендентов Оператор продаж обеспечивает:</w:t>
      </w:r>
    </w:p>
    <w:p>
      <w:pPr>
        <w:pStyle w:val="Normal"/>
        <w:tabs>
          <w:tab w:val="clear" w:pos="709"/>
          <w:tab w:val="left" w:pos="284" w:leader="none"/>
        </w:tabs>
        <w:ind w:firstLine="709" w:left="0" w:right="0"/>
        <w:jc w:val="both"/>
        <w:rPr/>
      </w:pPr>
      <w:r>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pPr>
        <w:pStyle w:val="Normal"/>
        <w:tabs>
          <w:tab w:val="clear" w:pos="709"/>
          <w:tab w:val="left" w:pos="284" w:leader="none"/>
        </w:tabs>
        <w:ind w:firstLine="709" w:left="0" w:right="0"/>
        <w:jc w:val="both"/>
        <w:rPr/>
      </w:pPr>
      <w:r>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pPr>
        <w:pStyle w:val="BodyText2111"/>
        <w:ind w:firstLine="709" w:left="0" w:right="0"/>
        <w:rPr/>
      </w:pPr>
      <w:r>
        <w:rPr/>
        <w:t>6.6.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pPr>
        <w:pStyle w:val="BodyText2111"/>
        <w:ind w:firstLine="709" w:left="0" w:right="0"/>
        <w:rPr/>
      </w:pPr>
      <w:r>
        <w:rPr/>
        <w:t>6.7. Заявки с прилагаемыми к ним документами, поданные с нарушением установленного срока, на электронной площадке не регистрируются.</w:t>
      </w:r>
    </w:p>
    <w:p>
      <w:pPr>
        <w:pStyle w:val="BodyText2111"/>
        <w:ind w:firstLine="709" w:left="0" w:right="0"/>
        <w:rPr/>
      </w:pPr>
      <w:r>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pPr>
        <w:pStyle w:val="BodyText2111"/>
        <w:ind w:firstLine="709" w:left="0" w:right="0"/>
        <w:rPr/>
      </w:pPr>
      <w:r>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pPr>
        <w:pStyle w:val="BodyText2111"/>
        <w:ind w:firstLine="709" w:left="0" w:right="0"/>
        <w:rPr>
          <w:rFonts w:ascii="TimesNewRoman" w:hAnsi="TimesNewRoman"/>
        </w:rPr>
      </w:pPr>
      <w:r>
        <w:rPr/>
        <w:t xml:space="preserve">6.10. </w:t>
      </w:r>
      <w:r>
        <w:rPr>
          <w:rFonts w:ascii="TimesNewRoman" w:hAnsi="TimesNew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pPr>
        <w:pStyle w:val="BodyText2111"/>
        <w:ind w:firstLine="709" w:left="0" w:right="0"/>
        <w:rPr>
          <w:rFonts w:ascii="TimesNewRoman" w:hAnsi="TimesNewRoman" w:eastAsia="Droid Sans Fallback" w:cs="Droid Sans Devanagari"/>
          <w:color w:val="000000"/>
          <w:spacing w:val="0"/>
          <w:kern w:val="0"/>
          <w:sz w:val="24"/>
          <w:szCs w:val="20"/>
          <w:lang w:val="ru-RU" w:eastAsia="zh-CN" w:bidi="hi-IN"/>
        </w:rPr>
      </w:pPr>
      <w:r>
        <w:rPr>
          <w:rFonts w:eastAsia="Droid Sans Fallback" w:cs="Droid Sans Devanagari" w:ascii="TimesNewRoman" w:hAnsi="TimesNewRoman"/>
          <w:color w:val="000000"/>
          <w:spacing w:val="0"/>
          <w:kern w:val="0"/>
          <w:sz w:val="24"/>
          <w:szCs w:val="20"/>
          <w:lang w:val="ru-RU" w:eastAsia="zh-CN" w:bidi="hi-IN"/>
        </w:rPr>
        <w:t>Подача претендентом заявки на участие в торгах с приложением соответствующего требованиям законодательства Российской Федерации комплекта документов и оплатой задатка является согласием претендента с условиями, установленными настоящим информационным сообщением.</w:t>
      </w:r>
    </w:p>
    <w:p>
      <w:pPr>
        <w:pStyle w:val="BodyText2111"/>
        <w:ind w:firstLine="851" w:left="0" w:right="0"/>
        <w:rPr>
          <w:rFonts w:ascii="TimesNewRoman" w:hAnsi="TimesNewRoman"/>
          <w:sz w:val="22"/>
        </w:rPr>
      </w:pPr>
      <w:r>
        <w:rPr>
          <w:rFonts w:ascii="TimesNewRoman" w:hAnsi="TimesNewRoman"/>
          <w:sz w:val="22"/>
        </w:rPr>
      </w:r>
    </w:p>
    <w:p>
      <w:pPr>
        <w:pStyle w:val="BodyText2111"/>
        <w:numPr>
          <w:ilvl w:val="0"/>
          <w:numId w:val="3"/>
        </w:numPr>
        <w:tabs>
          <w:tab w:val="clear" w:pos="284"/>
        </w:tabs>
        <w:ind w:firstLine="851" w:left="0" w:right="0"/>
        <w:jc w:val="center"/>
        <w:rPr>
          <w:b/>
        </w:rPr>
      </w:pPr>
      <w:r>
        <w:rPr>
          <w:b/>
        </w:rPr>
        <w:t>Перечень документов представляемый участниками торгов и требования к их оформлению</w:t>
      </w:r>
    </w:p>
    <w:p>
      <w:pPr>
        <w:pStyle w:val="BodyText2111"/>
        <w:ind w:firstLine="709" w:left="0" w:right="0"/>
        <w:rPr>
          <w:rFonts w:ascii="TimesNewRoman" w:hAnsi="TimesNewRoman"/>
        </w:rPr>
      </w:pPr>
      <w:r>
        <w:rPr>
          <w:rFonts w:ascii="TimesNewRoman" w:hAnsi="TimesNewRoman"/>
        </w:rPr>
        <w:t>7.1. 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pPr>
        <w:pStyle w:val="BodyText2111"/>
        <w:ind w:firstLine="709" w:left="0" w:right="0"/>
        <w:rPr>
          <w:rFonts w:ascii="TimesNewRoman" w:hAnsi="TimesNewRoman"/>
        </w:rPr>
      </w:pPr>
      <w:r>
        <w:rPr>
          <w:rFonts w:ascii="TimesNewRoman" w:hAnsi="TimesNewRoman"/>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pPr>
        <w:pStyle w:val="BodyText2111"/>
        <w:ind w:firstLine="709" w:left="0" w:right="0"/>
        <w:rPr>
          <w:rFonts w:ascii="TimesNewRoman" w:hAnsi="TimesNewRoman"/>
        </w:rPr>
      </w:pPr>
      <w:r>
        <w:rPr>
          <w:rFonts w:ascii="TimesNewRoman" w:hAnsi="TimesNewRoman"/>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pPr>
        <w:pStyle w:val="BodyText2111"/>
        <w:ind w:firstLine="709" w:left="0" w:right="0"/>
        <w:rPr>
          <w:rFonts w:ascii="TimesNewRoman" w:hAnsi="TimesNewRoman"/>
        </w:rPr>
      </w:pPr>
      <w:r>
        <w:rPr>
          <w:rFonts w:ascii="TimesNewRoman" w:hAnsi="TimesNewRoman"/>
        </w:rPr>
        <w:t>7.1.2. юридические лица:</w:t>
      </w:r>
    </w:p>
    <w:p>
      <w:pPr>
        <w:pStyle w:val="BodyText2111"/>
        <w:ind w:firstLine="709" w:left="0" w:right="0"/>
        <w:rPr>
          <w:b/>
          <w:bCs/>
        </w:rPr>
      </w:pPr>
      <w:r>
        <w:rPr>
          <w:rFonts w:ascii="TimesNewRoman" w:hAnsi="TimesNewRoman"/>
          <w:b/>
          <w:bCs/>
        </w:rPr>
        <w:t>- заполненная форма заявки на участие (Приложение № 1);</w:t>
      </w:r>
    </w:p>
    <w:p>
      <w:pPr>
        <w:pStyle w:val="Normal"/>
        <w:ind w:firstLine="709" w:left="0" w:right="0"/>
        <w:jc w:val="both"/>
        <w:rPr/>
      </w:pPr>
      <w:r>
        <w:rPr/>
        <w:t>- заверенные копии учредительных документов;</w:t>
      </w:r>
    </w:p>
    <w:p>
      <w:pPr>
        <w:pStyle w:val="Normal"/>
        <w:ind w:firstLine="709" w:left="0" w:right="0"/>
        <w:jc w:val="both"/>
        <w:rPr/>
      </w:pPr>
      <w:r>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pPr>
        <w:pStyle w:val="Normal"/>
        <w:ind w:firstLine="709" w:left="0" w:right="0"/>
        <w:jc w:val="both"/>
        <w:rPr/>
      </w:pPr>
      <w:r>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pPr>
        <w:pStyle w:val="Normal"/>
        <w:ind w:firstLine="709" w:left="0" w:right="0"/>
        <w:jc w:val="both"/>
        <w:rPr/>
      </w:pPr>
      <w:r>
        <w:rPr>
          <w:u w:val="single"/>
        </w:rPr>
        <w:t>7.1.3. физические лица, в том числе индивидуальные предприниматели</w:t>
      </w:r>
    </w:p>
    <w:p>
      <w:pPr>
        <w:pStyle w:val="Normal"/>
        <w:ind w:firstLine="709" w:left="0" w:right="0"/>
        <w:jc w:val="both"/>
        <w:rPr>
          <w:b/>
          <w:bCs/>
        </w:rPr>
      </w:pPr>
      <w:r>
        <w:rPr>
          <w:b/>
          <w:bCs/>
        </w:rPr>
        <w:t xml:space="preserve">- </w:t>
      </w:r>
      <w:r>
        <w:rPr>
          <w:rFonts w:ascii="TimesNewRoman" w:hAnsi="TimesNewRoman"/>
          <w:b/>
          <w:bCs/>
        </w:rPr>
        <w:t>заполненная форма заявки на участие</w:t>
      </w:r>
      <w:r>
        <w:rPr>
          <w:b/>
          <w:bCs/>
        </w:rPr>
        <w:t xml:space="preserve"> (Приложение № 1);</w:t>
      </w:r>
    </w:p>
    <w:p>
      <w:pPr>
        <w:pStyle w:val="Normal"/>
        <w:ind w:firstLine="709" w:left="0" w:right="0"/>
        <w:jc w:val="both"/>
        <w:rPr/>
      </w:pPr>
      <w:r>
        <w:rPr>
          <w:rFonts w:ascii="TimesNewRoman" w:hAnsi="TimesNewRoman"/>
        </w:rPr>
        <w:t>- документ, удостоверяющий личность (копия паспорта всех страниц).</w:t>
      </w:r>
    </w:p>
    <w:p>
      <w:pPr>
        <w:pStyle w:val="Normal"/>
        <w:ind w:firstLine="709" w:left="0" w:right="0"/>
        <w:jc w:val="both"/>
        <w:rPr/>
      </w:pPr>
      <w:r>
        <w:rPr/>
        <w:t>7.1.4. Опись представленных документов, подписанная претендентом или его уполномоченным представителем.</w:t>
      </w:r>
    </w:p>
    <w:p>
      <w:pPr>
        <w:pStyle w:val="Normal"/>
        <w:ind w:firstLine="709" w:left="0" w:right="0"/>
        <w:jc w:val="both"/>
        <w:rPr/>
      </w:pPr>
      <w:r>
        <w:rPr/>
        <w:t xml:space="preserve">7.1.5. Документ, подтверждающий факт оплаты задатка на участие в продаже. </w:t>
      </w:r>
    </w:p>
    <w:p>
      <w:pPr>
        <w:pStyle w:val="Normal"/>
        <w:ind w:firstLine="709" w:left="0" w:right="0"/>
        <w:jc w:val="both"/>
        <w:rPr/>
      </w:pPr>
      <w:r>
        <w:rPr/>
        <w:t>7.1.6.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pPr>
        <w:pStyle w:val="Normal"/>
        <w:ind w:firstLine="709" w:left="0" w:right="0"/>
        <w:jc w:val="both"/>
        <w:rPr/>
      </w:pPr>
      <w:r>
        <w:rPr/>
        <w:t xml:space="preserve">7.1.7. Указанные документы (в том числе копии документов) в части их оформления, </w:t>
        <w:b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pPr>
        <w:pStyle w:val="Normal"/>
        <w:ind w:firstLine="709" w:left="0" w:right="0"/>
        <w:jc w:val="both"/>
        <w:rPr/>
      </w:pPr>
      <w:r>
        <w:rPr/>
        <w:t xml:space="preserve">7.1.8. Заявки подаются одновременно с полным комплектом документов, установленным в настоящем информационном сообщении. </w:t>
      </w:r>
    </w:p>
    <w:p>
      <w:pPr>
        <w:pStyle w:val="Normal"/>
        <w:tabs>
          <w:tab w:val="clear" w:pos="709"/>
          <w:tab w:val="left" w:pos="284" w:leader="none"/>
        </w:tabs>
        <w:ind w:firstLine="709" w:left="0" w:right="0"/>
        <w:jc w:val="both"/>
        <w:rPr/>
      </w:pPr>
      <w:r>
        <w:rPr/>
        <w:t xml:space="preserve">7.1.9.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и отправитель несет ответственность за подлинность и достоверность таких документов и сведений. </w:t>
      </w:r>
    </w:p>
    <w:p>
      <w:pPr>
        <w:pStyle w:val="Normal"/>
        <w:ind w:firstLine="709" w:left="0" w:right="0"/>
        <w:jc w:val="both"/>
        <w:rPr/>
      </w:pPr>
      <w:r>
        <w:rPr/>
        <w:t>7.1.10. 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pPr>
        <w:pStyle w:val="Normal"/>
        <w:tabs>
          <w:tab w:val="clear" w:pos="709"/>
          <w:tab w:val="left" w:pos="284" w:leader="none"/>
        </w:tabs>
        <w:ind w:firstLine="709" w:left="0" w:right="0"/>
        <w:jc w:val="both"/>
        <w:rPr/>
      </w:pPr>
      <w:r>
        <w:rPr/>
        <w:t xml:space="preserve">Изменение заявки допускается только путем подачи претендентом новой заявки в сроки, установленные в сообщении о проведении продажи посредством </w:t>
      </w:r>
      <w:r>
        <w:rPr>
          <w:rFonts w:ascii="TimesNewRoman" w:hAnsi="TimesNewRoman"/>
        </w:rPr>
        <w:t>публичного предложения</w:t>
      </w:r>
      <w:r>
        <w:rPr/>
        <w:t xml:space="preserve"> в электронной форме, при этом первоначальная заявка должна быть отозвана.</w:t>
      </w:r>
    </w:p>
    <w:p>
      <w:pPr>
        <w:pStyle w:val="Normal"/>
        <w:tabs>
          <w:tab w:val="clear" w:pos="709"/>
          <w:tab w:val="left" w:pos="284" w:leader="none"/>
        </w:tabs>
        <w:ind w:firstLine="709" w:left="0" w:right="0"/>
        <w:jc w:val="both"/>
        <w:rPr>
          <w:b/>
        </w:rPr>
      </w:pPr>
      <w:r>
        <w:rPr>
          <w:b/>
        </w:rPr>
      </w:r>
    </w:p>
    <w:p>
      <w:pPr>
        <w:pStyle w:val="BodyText2111"/>
        <w:tabs>
          <w:tab w:val="clear" w:pos="284"/>
        </w:tabs>
        <w:ind w:hanging="0" w:left="0" w:right="0"/>
        <w:jc w:val="center"/>
        <w:rPr>
          <w:rFonts w:ascii="TimesNewRoman" w:hAnsi="TimesNewRoman"/>
          <w:color w:val="000000"/>
          <w:sz w:val="22"/>
        </w:rPr>
      </w:pPr>
      <w:r>
        <w:rPr>
          <w:b/>
        </w:rPr>
        <w:t>8. Ограничения участия в продаже посредством публичного предложения отдельных категорий физических и юридических лиц</w:t>
      </w:r>
    </w:p>
    <w:p>
      <w:pPr>
        <w:pStyle w:val="BodyTextIndent2111"/>
        <w:rPr/>
      </w:pPr>
      <w:r>
        <w:rPr/>
        <w:t xml:space="preserve">8.1. Покупателями государственного имущества могут быть лица, отвечающие признакам покупателя в соответствии с Федеральным законом от 21 декабря 2001 г. № 178-ФЗ «О приватизации государственного и муниципального имущества» и желающие приобрести федеральное имущество, выставляемое путем продажи посредством  </w:t>
      </w:r>
      <w:r>
        <w:rPr>
          <w:rFonts w:ascii="TimesNewRoman" w:hAnsi="TimesNewRoman"/>
        </w:rPr>
        <w:t>публичного предложения</w:t>
      </w:r>
      <w:r>
        <w:rPr/>
        <w:t>,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pPr>
        <w:pStyle w:val="BodyTextIndent2111"/>
        <w:rPr/>
      </w:pPr>
      <w:r>
        <w:rPr/>
        <w:t>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p>
    <w:p>
      <w:pPr>
        <w:pStyle w:val="BodyTextIndent2111"/>
        <w:rPr/>
      </w:pPr>
      <w:r>
        <w:rPr/>
        <w:t>- государственных и муниципальных унитарных предприятий, государственных и муниципальных учреждений;</w:t>
      </w:r>
    </w:p>
    <w:p>
      <w:pPr>
        <w:pStyle w:val="BodyTextIndent2111"/>
        <w:rPr/>
      </w:pPr>
      <w:r>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w:t>
      </w:r>
    </w:p>
    <w:p>
      <w:pPr>
        <w:pStyle w:val="BodyTextIndent2111"/>
        <w:rPr>
          <w:color w:themeColor="text1" w:val="000000"/>
        </w:rPr>
      </w:pPr>
      <w:r>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pPr>
        <w:pStyle w:val="BodyText2111"/>
        <w:tabs>
          <w:tab w:val="clear" w:pos="284"/>
        </w:tabs>
        <w:ind w:hanging="0" w:left="0" w:right="0"/>
        <w:rPr>
          <w:b/>
        </w:rPr>
      </w:pPr>
      <w:r>
        <w:rPr>
          <w:b/>
        </w:rPr>
      </w:r>
    </w:p>
    <w:p>
      <w:pPr>
        <w:pStyle w:val="BodyText2111"/>
        <w:ind w:hanging="0" w:left="0" w:right="0"/>
        <w:jc w:val="center"/>
        <w:rPr>
          <w:b/>
        </w:rPr>
      </w:pPr>
      <w:r>
        <w:rPr>
          <w:b/>
        </w:rPr>
        <w:t>9. Порядок внесения задатка и его возврата</w:t>
      </w:r>
    </w:p>
    <w:p>
      <w:pPr>
        <w:pStyle w:val="BodyText2111"/>
        <w:ind w:firstLine="709" w:left="0" w:right="0"/>
        <w:rPr>
          <w:b/>
        </w:rPr>
      </w:pPr>
      <w:r>
        <w:rPr>
          <w:b/>
        </w:rPr>
        <w:t>9.1.Порядок внесения задатка</w:t>
      </w:r>
    </w:p>
    <w:p>
      <w:pPr>
        <w:pStyle w:val="BodyText2111"/>
        <w:ind w:firstLine="709" w:left="0" w:right="0"/>
        <w:rPr/>
      </w:pPr>
      <w:r>
        <w:rP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pPr>
        <w:pStyle w:val="Normal"/>
        <w:tabs>
          <w:tab w:val="clear" w:pos="709"/>
          <w:tab w:val="left" w:pos="284" w:leader="none"/>
        </w:tabs>
        <w:ind w:firstLine="709" w:left="0" w:right="0"/>
        <w:jc w:val="both"/>
        <w:rPr/>
      </w:pPr>
      <w:r>
        <w:rPr/>
        <w:t>Задаток вносится в валюте Российской Федерации на счет Продавца:</w:t>
      </w:r>
    </w:p>
    <w:p>
      <w:pPr>
        <w:pStyle w:val="Normal"/>
        <w:tabs>
          <w:tab w:val="clear" w:pos="709"/>
          <w:tab w:val="left" w:pos="284" w:leader="none"/>
        </w:tabs>
        <w:ind w:firstLine="709" w:left="0" w:right="0"/>
        <w:jc w:val="both"/>
        <w:rPr/>
      </w:pPr>
      <w:r>
        <w:rPr/>
        <w:t>Получатель: УФК по Калужской области (Межрегиональное территориальное управление Федерального агентства по управлению государственным имуществом в Калужской, Брянской и Смоленской областях) л/с 05371W08230</w:t>
      </w:r>
    </w:p>
    <w:p>
      <w:pPr>
        <w:pStyle w:val="Normal"/>
        <w:tabs>
          <w:tab w:val="clear" w:pos="709"/>
          <w:tab w:val="left" w:pos="284" w:leader="none"/>
        </w:tabs>
        <w:ind w:firstLine="709" w:left="0" w:right="0"/>
        <w:jc w:val="both"/>
        <w:rPr/>
      </w:pPr>
      <w:r>
        <w:rPr/>
        <w:t xml:space="preserve">Банк получателя - </w:t>
      </w:r>
      <w:r>
        <w:rPr>
          <w:rFonts w:ascii="XO Thames" w:hAnsi="XO Thames"/>
        </w:rPr>
        <w:t>ОКЦ № 9 ГУ Банка России по ЦФО//УФК по Калужской области</w:t>
      </w:r>
    </w:p>
    <w:p>
      <w:pPr>
        <w:pStyle w:val="Normal"/>
        <w:tabs>
          <w:tab w:val="clear" w:pos="709"/>
          <w:tab w:val="left" w:pos="284" w:leader="none"/>
        </w:tabs>
        <w:ind w:firstLine="709" w:left="0" w:right="0"/>
        <w:jc w:val="both"/>
        <w:rPr/>
      </w:pPr>
      <w:r>
        <w:rPr/>
        <w:t>ИНН 4027096522, КПП 402701001;</w:t>
      </w:r>
    </w:p>
    <w:p>
      <w:pPr>
        <w:pStyle w:val="Normal"/>
        <w:tabs>
          <w:tab w:val="clear" w:pos="709"/>
          <w:tab w:val="left" w:pos="284" w:leader="none"/>
        </w:tabs>
        <w:ind w:firstLine="709" w:left="0" w:right="0"/>
        <w:jc w:val="both"/>
        <w:rPr/>
      </w:pPr>
      <w:r>
        <w:rPr/>
        <w:t>Номер счета банка получателя Единый казначейский счёт (кор. счёт) 40102810045370000030;</w:t>
      </w:r>
    </w:p>
    <w:p>
      <w:pPr>
        <w:pStyle w:val="Normal"/>
        <w:tabs>
          <w:tab w:val="clear" w:pos="709"/>
          <w:tab w:val="left" w:pos="284" w:leader="none"/>
        </w:tabs>
        <w:ind w:firstLine="709" w:left="0" w:right="0"/>
        <w:jc w:val="both"/>
        <w:rPr/>
      </w:pPr>
      <w:r>
        <w:rPr/>
        <w:t xml:space="preserve">Расчетный счет 03212643000000013700; </w:t>
      </w:r>
    </w:p>
    <w:p>
      <w:pPr>
        <w:pStyle w:val="Normal"/>
        <w:tabs>
          <w:tab w:val="clear" w:pos="709"/>
          <w:tab w:val="left" w:pos="284" w:leader="none"/>
        </w:tabs>
        <w:ind w:firstLine="709" w:left="0" w:right="0"/>
        <w:jc w:val="both"/>
        <w:rPr/>
      </w:pPr>
      <w:r>
        <w:rPr/>
        <w:t>БИК 012908002;</w:t>
      </w:r>
    </w:p>
    <w:p>
      <w:pPr>
        <w:pStyle w:val="Normal"/>
        <w:tabs>
          <w:tab w:val="clear" w:pos="709"/>
          <w:tab w:val="left" w:pos="284" w:leader="none"/>
        </w:tabs>
        <w:ind w:firstLine="709" w:left="0" w:right="0"/>
        <w:jc w:val="both"/>
        <w:rPr/>
      </w:pPr>
      <w:r>
        <w:rPr/>
        <w:t>ОКТМО 29701000;</w:t>
      </w:r>
    </w:p>
    <w:p>
      <w:pPr>
        <w:pStyle w:val="Normal"/>
        <w:tabs>
          <w:tab w:val="clear" w:pos="709"/>
          <w:tab w:val="left" w:pos="284" w:leader="none"/>
        </w:tabs>
        <w:ind w:firstLine="709" w:left="0" w:right="0"/>
        <w:jc w:val="both"/>
        <w:rPr>
          <w:b/>
        </w:rPr>
      </w:pPr>
      <w:r>
        <w:rPr>
          <w:b/>
        </w:rPr>
        <w:t>В поле 22 «Код» платежного поручения необходимо указывать «0011».</w:t>
      </w:r>
      <w:r>
        <w:rPr>
          <w:rStyle w:val="FootnoteReference"/>
          <w:b/>
          <w:vertAlign w:val="superscript"/>
        </w:rPr>
        <w:footnoteReference w:id="2"/>
      </w:r>
      <w:r>
        <w:rPr>
          <w:b/>
        </w:rPr>
        <w:t>;</w:t>
      </w:r>
    </w:p>
    <w:p>
      <w:pPr>
        <w:pStyle w:val="Normal"/>
        <w:tabs>
          <w:tab w:val="clear" w:pos="709"/>
          <w:tab w:val="left" w:pos="284" w:leader="none"/>
        </w:tabs>
        <w:ind w:firstLine="709" w:left="0" w:right="0"/>
        <w:jc w:val="both"/>
        <w:rPr>
          <w:b/>
        </w:rPr>
      </w:pPr>
      <w:r>
        <w:rPr>
          <w:b/>
        </w:rPr>
        <w:t>КБК 167 114 13010 01 6000 410.</w:t>
      </w:r>
    </w:p>
    <w:p>
      <w:pPr>
        <w:pStyle w:val="BodyText2111"/>
        <w:ind w:firstLine="709" w:left="0" w:right="0"/>
        <w:rPr/>
      </w:pPr>
      <w:r>
        <w:rPr/>
        <w:t xml:space="preserve">Назначение платежа: задаток для участия в продаже посредством  </w:t>
      </w:r>
      <w:r>
        <w:rPr>
          <w:rFonts w:ascii="TimesNewRoman" w:hAnsi="TimesNewRoman"/>
        </w:rPr>
        <w:t>публичного предложения</w:t>
      </w:r>
      <w:r>
        <w:rPr/>
        <w:t xml:space="preserve"> недвижимого имущества «наименование имущества», без учета НДС.</w:t>
      </w:r>
    </w:p>
    <w:p>
      <w:pPr>
        <w:pStyle w:val="BodyText2111"/>
        <w:ind w:firstLine="709" w:left="0" w:right="0"/>
        <w:rPr/>
      </w:pPr>
      <w:r>
        <w:rPr/>
        <w:t>9.1.2. Задаток вносится единым платежом.</w:t>
      </w:r>
    </w:p>
    <w:p>
      <w:pPr>
        <w:pStyle w:val="BodyText2111"/>
        <w:numPr>
          <w:ilvl w:val="1"/>
          <w:numId w:val="4"/>
        </w:numPr>
        <w:tabs>
          <w:tab w:val="clear" w:pos="284"/>
        </w:tabs>
        <w:ind w:firstLine="709" w:left="0" w:right="0"/>
        <w:rPr>
          <w:b/>
        </w:rPr>
      </w:pPr>
      <w:r>
        <w:rPr>
          <w:b/>
        </w:rPr>
        <w:t>Порядок возврата задатка</w:t>
      </w:r>
    </w:p>
    <w:p>
      <w:pPr>
        <w:pStyle w:val="Normal"/>
        <w:ind w:firstLine="709" w:left="0" w:right="0"/>
        <w:jc w:val="both"/>
        <w:rPr>
          <w:rFonts w:ascii="TimesNewRoman,Bold" w:hAnsi="TimesNewRoman,Bold"/>
        </w:rPr>
      </w:pPr>
      <w:r>
        <w:rPr>
          <w:rFonts w:ascii="TimesNewRoman,Bold" w:hAnsi="TimesNewRoman,Bold"/>
        </w:rPr>
        <w:t>9.2.1. Лицам, перечислившим задаток для участия в продаже федерального имущества посредством публичного предложения, денежные средства возвращаются в следующем порядке:</w:t>
      </w:r>
    </w:p>
    <w:p>
      <w:pPr>
        <w:pStyle w:val="Normal"/>
        <w:ind w:firstLine="709" w:left="0" w:right="0"/>
        <w:jc w:val="both"/>
        <w:rPr>
          <w:rFonts w:ascii="TimesNewRoman,Bold" w:hAnsi="TimesNewRoman,Bold"/>
        </w:rPr>
      </w:pPr>
      <w:r>
        <w:rPr>
          <w:rFonts w:ascii="TimesNewRoman,Bold" w:hAnsi="TimesNewRoman,Bold"/>
        </w:rPr>
        <w:t>а) участникам, за исключением победителя, - в течение 5 (пяти) календарных дней со дня подведения итогов продажи имущества;</w:t>
      </w:r>
    </w:p>
    <w:p>
      <w:pPr>
        <w:pStyle w:val="Normal"/>
        <w:ind w:firstLine="709" w:left="0" w:right="0"/>
        <w:jc w:val="both"/>
        <w:rPr>
          <w:rFonts w:ascii="TimesNewRoman,Bold" w:hAnsi="TimesNewRoman,Bold"/>
        </w:rPr>
      </w:pPr>
      <w:r>
        <w:rPr>
          <w:rFonts w:ascii="TimesNewRoman,Bold" w:hAnsi="TimesNewRoman,Bold"/>
        </w:rPr>
        <w:t xml:space="preserve">б) претендентам, не допущенным к участию в продаже имущества, - в течение </w:t>
        <w:br/>
        <w:t>5 (пяти) календарных дней со дня подписания протокола о признании претендентов участниками.</w:t>
      </w:r>
    </w:p>
    <w:p>
      <w:pPr>
        <w:pStyle w:val="Normal"/>
        <w:ind w:firstLine="709" w:left="0" w:right="0"/>
        <w:jc w:val="both"/>
        <w:rPr>
          <w:rFonts w:ascii="TimesNewRoman,Bold" w:hAnsi="TimesNewRoman,Bold"/>
        </w:rPr>
      </w:pPr>
      <w:r>
        <w:rPr>
          <w:rFonts w:ascii="TimesNewRoman,Bold" w:hAnsi="TimesNewRoman,Bold"/>
        </w:rPr>
        <w:t>9.2.2. Задаток победителя продажи федерального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w:t>
      </w:r>
    </w:p>
    <w:p>
      <w:pPr>
        <w:pStyle w:val="Normal"/>
        <w:ind w:firstLine="709" w:left="0" w:right="0"/>
        <w:jc w:val="both"/>
        <w:rPr>
          <w:rFonts w:ascii="TimesNewRoman,Bold" w:hAnsi="TimesNewRoman,Bold"/>
        </w:rPr>
      </w:pPr>
      <w:r>
        <w:rPr>
          <w:rFonts w:ascii="TimesNewRoman,Bold" w:hAnsi="TimesNewRoman,Bold"/>
        </w:rPr>
        <w:t>9.2.3. При уклонении или отказе победителя от заключения в установленный срок договора купли-продажи имущества результаты продажи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pPr>
        <w:pStyle w:val="Normal"/>
        <w:ind w:firstLine="709" w:left="0" w:right="0"/>
        <w:jc w:val="both"/>
        <w:rPr>
          <w:rFonts w:ascii="TimesNewRoman,Bold" w:hAnsi="TimesNewRoman,Bold"/>
        </w:rPr>
      </w:pPr>
      <w:r>
        <w:rPr>
          <w:rFonts w:ascii="TimesNewRoman,Bold" w:hAnsi="TimesNewRoman,Bold"/>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4">
        <w:r>
          <w:rPr>
            <w:rFonts w:ascii="TimesNewRoman,Bold" w:hAnsi="TimesNewRoman,Bold"/>
          </w:rPr>
          <w:t>законодательством</w:t>
        </w:r>
      </w:hyperlink>
      <w:r>
        <w:rPr>
          <w:rFonts w:ascii="TimesNewRoman,Bold" w:hAnsi="TimesNewRoman,Bold"/>
        </w:rPr>
        <w:t xml:space="preserve"> Российской Федерации в договоре купли-продажи имущества, задаток ему не возвращается.</w:t>
      </w:r>
    </w:p>
    <w:p>
      <w:pPr>
        <w:pStyle w:val="Normal"/>
        <w:ind w:firstLine="709" w:left="0" w:right="0"/>
        <w:jc w:val="both"/>
        <w:rPr/>
      </w:pPr>
      <w:r>
        <w:rP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pPr>
        <w:pStyle w:val="Normal"/>
        <w:ind w:firstLine="709" w:left="0" w:right="0"/>
        <w:jc w:val="both"/>
        <w:rPr/>
      </w:pPr>
      <w:r>
        <w:rP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pPr>
        <w:pStyle w:val="Normal"/>
        <w:ind w:firstLine="851" w:left="0" w:right="0"/>
        <w:jc w:val="both"/>
        <w:rPr/>
      </w:pPr>
      <w:r>
        <w:rPr/>
      </w:r>
    </w:p>
    <w:p>
      <w:pPr>
        <w:pStyle w:val="BodyTextIndent2111"/>
        <w:numPr>
          <w:ilvl w:val="0"/>
          <w:numId w:val="4"/>
        </w:numPr>
        <w:ind w:hanging="360" w:left="360" w:right="0"/>
        <w:jc w:val="center"/>
        <w:rPr>
          <w:b/>
        </w:rPr>
      </w:pPr>
      <w:r>
        <w:rPr>
          <w:b/>
        </w:rPr>
        <w:t xml:space="preserve">Порядок ознакомления со сведениями об Имуществе, </w:t>
        <w:br/>
        <w:t>выставляемом на продажу посредством публичного предложения</w:t>
      </w:r>
    </w:p>
    <w:p>
      <w:pPr>
        <w:pStyle w:val="Normal"/>
        <w:spacing w:lineRule="auto" w:line="264"/>
        <w:ind w:firstLine="720" w:left="0" w:right="57"/>
        <w:jc w:val="both"/>
        <w:rPr/>
      </w:pPr>
      <w:r>
        <w:rPr/>
        <w:t xml:space="preserve">10.1. Информация о проведении продажи посредством публичного предложения размещается на официальном сайте Российской Федерации в сети «Интернет» » </w:t>
      </w:r>
      <w:r>
        <w:rPr>
          <w:color w:val="0000FF"/>
          <w:u w:val="single"/>
        </w:rPr>
        <w:t>www.torgi.gov.ru</w:t>
      </w:r>
      <w:r>
        <w:rPr/>
        <w:t xml:space="preserve">, официальном сайте Росимущества в сети «Интернет» </w:t>
      </w:r>
      <w:hyperlink r:id="rId5">
        <w:r>
          <w:rPr>
            <w:color w:val="0000FF"/>
            <w:u w:val="single"/>
          </w:rPr>
          <w:t>https://www.rosim.ru/</w:t>
        </w:r>
      </w:hyperlink>
      <w:r>
        <w:rPr/>
        <w:t xml:space="preserve">  на сайте оператора в сети «Интернет» (электронная площадка)  </w:t>
      </w:r>
      <w:hyperlink r:id="rId6">
        <w:r>
          <w:rPr/>
          <w:t>https://privatization.lot-online.ru/</w:t>
        </w:r>
      </w:hyperlink>
      <w:r>
        <w:rPr/>
        <w:t xml:space="preserve">   (п. 3.3 настоящего информационного сообщения) на официальном сайте продавца в сети «Интернет» </w:t>
      </w:r>
      <w:hyperlink r:id="rId7">
        <w:r>
          <w:rPr/>
          <w:t>https://tu40.rosim.ru/</w:t>
        </w:r>
      </w:hyperlink>
      <w:r>
        <w:rPr>
          <w:color w:val="0000FF"/>
          <w:u w:val="single"/>
        </w:rPr>
        <w:t xml:space="preserve"> </w:t>
      </w:r>
      <w:r>
        <w:rPr/>
        <w:t>и содержит следующее:</w:t>
      </w:r>
    </w:p>
    <w:p>
      <w:pPr>
        <w:pStyle w:val="Normal"/>
        <w:ind w:firstLine="709" w:left="0" w:right="0"/>
        <w:jc w:val="both"/>
        <w:rPr/>
      </w:pPr>
      <w:r>
        <w:rPr/>
        <w:t>а) информационное сообщение о проведении продажи имущества;</w:t>
      </w:r>
    </w:p>
    <w:p>
      <w:pPr>
        <w:pStyle w:val="Normal"/>
        <w:ind w:firstLine="709" w:left="0" w:right="0"/>
        <w:jc w:val="both"/>
        <w:rPr/>
      </w:pPr>
      <w:r>
        <w:rPr/>
        <w:t>б) форма заявки (приложение № 1);</w:t>
      </w:r>
    </w:p>
    <w:p>
      <w:pPr>
        <w:pStyle w:val="Normal"/>
        <w:ind w:firstLine="709" w:left="0" w:right="0"/>
        <w:jc w:val="both"/>
        <w:rPr/>
      </w:pPr>
      <w:r>
        <w:rPr/>
        <w:t>в) проект договора купли-продажи имущества (приложение № 2);</w:t>
      </w:r>
    </w:p>
    <w:p>
      <w:pPr>
        <w:pStyle w:val="Normal"/>
        <w:ind w:firstLine="709" w:left="0" w:right="0"/>
        <w:jc w:val="both"/>
        <w:rPr/>
      </w:pPr>
      <w:r>
        <w:rPr/>
        <w:t>г) информация по осмотру имущества (приложение № 3)</w:t>
      </w:r>
    </w:p>
    <w:p>
      <w:pPr>
        <w:pStyle w:val="Normal"/>
        <w:ind w:firstLine="709" w:left="0" w:right="0"/>
        <w:jc w:val="both"/>
        <w:rPr/>
      </w:pPr>
      <w:r>
        <w:rPr/>
        <w:t xml:space="preserve">д) иные сведения, предусмотренные Федеральным законом от 21 декабря 2001 г. </w:t>
        <w:br/>
        <w:t>№ 178-ФЗ «О приватизации государственного и муниципального имущества».</w:t>
      </w:r>
    </w:p>
    <w:p>
      <w:pPr>
        <w:pStyle w:val="Normal"/>
        <w:ind w:firstLine="709" w:left="0" w:right="0"/>
        <w:jc w:val="both"/>
        <w:rPr/>
      </w:pPr>
      <w:r>
        <w:rPr/>
        <w:t xml:space="preserve">10.2. 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Российской Федерации в сети «Интернет» </w:t>
      </w:r>
      <w:hyperlink r:id="rId8">
        <w:r>
          <w:rPr/>
          <w:t>www.torgi.gov.ru</w:t>
        </w:r>
      </w:hyperlink>
      <w:r>
        <w:rPr/>
        <w:t xml:space="preserve"> , на сайте в сети «Интернет» Оператора (электронная площадка) </w:t>
      </w:r>
      <w:hyperlink r:id="rId9">
        <w:r>
          <w:rPr/>
          <w:t>https://privatization.lot-online.ru/</w:t>
        </w:r>
      </w:hyperlink>
      <w:r>
        <w:rPr/>
        <w:t xml:space="preserve"> , и на официальном сайте продавца в сети «Интернет» </w:t>
      </w:r>
      <w:hyperlink r:id="rId10">
        <w:r>
          <w:rPr/>
          <w:t>https://tu40.rosim.ru/</w:t>
        </w:r>
      </w:hyperlink>
      <w:r>
        <w:rPr/>
        <w:t>.</w:t>
      </w:r>
    </w:p>
    <w:p>
      <w:pPr>
        <w:pStyle w:val="Normal"/>
        <w:ind w:firstLine="709" w:left="0" w:right="0"/>
        <w:jc w:val="both"/>
        <w:rPr/>
      </w:pPr>
      <w:r>
        <w:rPr/>
        <w:t>10.3. Любое лицо независимо от регистрации на электронной площадке вправе направить на электронный адрес Оператора, указанный в информационном сообщении о проведении продажи имущества, запрос о разъяснении размещенной информации.</w:t>
      </w:r>
    </w:p>
    <w:p>
      <w:pPr>
        <w:pStyle w:val="Normal"/>
        <w:ind w:firstLine="709" w:left="0" w:right="0"/>
        <w:jc w:val="both"/>
        <w:rPr/>
      </w:pPr>
      <w:r>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pPr>
        <w:pStyle w:val="Normal"/>
        <w:ind w:firstLine="709" w:left="0" w:right="0"/>
        <w:jc w:val="both"/>
        <w:rPr/>
      </w:pPr>
      <w:r>
        <w:rP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pPr>
        <w:pStyle w:val="Normal"/>
        <w:ind w:firstLine="709" w:left="0" w:right="0"/>
        <w:jc w:val="both"/>
        <w:rPr/>
      </w:pPr>
      <w:r>
        <w:rPr/>
        <w:t>В случае направления запроса иностранными лицами такой запрос должен иметь перевод на русский язык.</w:t>
      </w:r>
    </w:p>
    <w:p>
      <w:pPr>
        <w:pStyle w:val="Normal"/>
        <w:ind w:firstLine="709" w:left="0" w:right="0"/>
        <w:jc w:val="both"/>
        <w:rPr/>
      </w:pPr>
      <w:r>
        <w:rPr/>
        <w:t xml:space="preserve">10.4. С дополнительной информацией о приватизируемом имуществе можно ознакомиться по телефону: (4842) 57-51-51, 8 962-095-33-03, по адресу электронной почты: </w:t>
      </w:r>
      <w:hyperlink r:id="rId11">
        <w:r>
          <w:rPr/>
          <w:t>tu40@rosim.gov.ru</w:t>
        </w:r>
      </w:hyperlink>
    </w:p>
    <w:p>
      <w:pPr>
        <w:pStyle w:val="Normal"/>
        <w:ind w:firstLine="709" w:left="0" w:right="0"/>
        <w:jc w:val="both"/>
        <w:rPr/>
      </w:pPr>
      <w:r>
        <w:rPr/>
      </w:r>
    </w:p>
    <w:p>
      <w:pPr>
        <w:pStyle w:val="Normal"/>
        <w:ind w:firstLine="709" w:left="0" w:right="0"/>
        <w:jc w:val="both"/>
        <w:rPr>
          <w:b/>
        </w:rPr>
      </w:pPr>
      <w:r>
        <w:rPr>
          <w:b/>
        </w:rPr>
        <w:t>11. Порядок определения участников продажи посредством публичного предложения</w:t>
      </w:r>
    </w:p>
    <w:p>
      <w:pPr>
        <w:pStyle w:val="Normal"/>
        <w:numPr>
          <w:ilvl w:val="0"/>
          <w:numId w:val="0"/>
        </w:numPr>
        <w:tabs>
          <w:tab w:val="clear" w:pos="709"/>
          <w:tab w:val="left" w:pos="540" w:leader="none"/>
        </w:tabs>
        <w:ind w:firstLine="709" w:left="0" w:right="0"/>
        <w:jc w:val="both"/>
        <w:outlineLvl w:val="0"/>
        <w:rPr/>
      </w:pPr>
      <w:r>
        <w:rPr/>
        <w:t>11.1. В день определения участников продажи посредством публичного предложения, указанный в информационном сообщении, Оператор через «личный кабинет» продавца обеспечивает доступ продавца к поданным Претендентами заявкам и документам, а также к журналу приема заявок.</w:t>
      </w:r>
    </w:p>
    <w:p>
      <w:pPr>
        <w:pStyle w:val="Normal"/>
        <w:numPr>
          <w:ilvl w:val="0"/>
          <w:numId w:val="0"/>
        </w:numPr>
        <w:tabs>
          <w:tab w:val="clear" w:pos="709"/>
          <w:tab w:val="left" w:pos="540" w:leader="none"/>
        </w:tabs>
        <w:ind w:firstLine="709" w:left="0" w:right="0"/>
        <w:jc w:val="both"/>
        <w:outlineLvl w:val="0"/>
        <w:rPr/>
      </w:pPr>
      <w:r>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посредством публичного предложения, с указанием оснований такого отказа.</w:t>
      </w:r>
    </w:p>
    <w:p>
      <w:pPr>
        <w:pStyle w:val="Normal"/>
        <w:numPr>
          <w:ilvl w:val="0"/>
          <w:numId w:val="0"/>
        </w:numPr>
        <w:tabs>
          <w:tab w:val="clear" w:pos="709"/>
          <w:tab w:val="left" w:pos="540" w:leader="none"/>
        </w:tabs>
        <w:ind w:firstLine="709" w:left="0" w:right="0"/>
        <w:jc w:val="both"/>
        <w:outlineLvl w:val="0"/>
        <w:rPr/>
      </w:pPr>
      <w:r>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продажи посредством </w:t>
      </w:r>
      <w:r>
        <w:rPr>
          <w:rFonts w:ascii="TimesNewRoman" w:hAnsi="TimesNewRoman"/>
        </w:rPr>
        <w:t>публичного предложения</w:t>
      </w:r>
      <w:r>
        <w:rPr/>
        <w:t xml:space="preserve"> или об отказе в признании участниками продажи посредством  </w:t>
      </w:r>
      <w:r>
        <w:rPr>
          <w:rFonts w:ascii="TimesNewRoman" w:hAnsi="TimesNewRoman"/>
        </w:rPr>
        <w:t>публичного предложения</w:t>
      </w:r>
      <w:r>
        <w:rPr/>
        <w:t xml:space="preserve"> с указанием оснований отказа. </w:t>
      </w:r>
    </w:p>
    <w:p>
      <w:pPr>
        <w:pStyle w:val="Normal"/>
        <w:numPr>
          <w:ilvl w:val="0"/>
          <w:numId w:val="0"/>
        </w:numPr>
        <w:tabs>
          <w:tab w:val="clear" w:pos="709"/>
          <w:tab w:val="left" w:pos="540" w:leader="none"/>
        </w:tabs>
        <w:ind w:firstLine="709" w:left="0" w:right="0"/>
        <w:jc w:val="both"/>
        <w:outlineLvl w:val="0"/>
        <w:rPr/>
      </w:pPr>
      <w:r>
        <w:rPr/>
        <w:t>11.4. Информация о претендентах, не допущенных к участию в продаже посредством публичного предложения,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pPr>
        <w:pStyle w:val="Normal"/>
        <w:numPr>
          <w:ilvl w:val="0"/>
          <w:numId w:val="0"/>
        </w:numPr>
        <w:tabs>
          <w:tab w:val="clear" w:pos="709"/>
          <w:tab w:val="left" w:pos="540" w:leader="none"/>
        </w:tabs>
        <w:ind w:firstLine="709" w:left="0" w:right="0"/>
        <w:jc w:val="both"/>
        <w:outlineLvl w:val="0"/>
        <w:rPr/>
      </w:pPr>
      <w:r>
        <w:rPr/>
        <w:t xml:space="preserve">11.5. Претендент приобретает статус участника продажи посредством  </w:t>
      </w:r>
      <w:r>
        <w:rPr>
          <w:rFonts w:ascii="TimesNewRoman" w:hAnsi="TimesNewRoman"/>
        </w:rPr>
        <w:t>публичного предложения</w:t>
      </w:r>
      <w:r>
        <w:rPr/>
        <w:t xml:space="preserve"> момента подписания протокола о признании претендентов участниками в продажи посредством публичного предложения.</w:t>
      </w:r>
    </w:p>
    <w:p>
      <w:pPr>
        <w:pStyle w:val="Normal"/>
        <w:numPr>
          <w:ilvl w:val="0"/>
          <w:numId w:val="0"/>
        </w:numPr>
        <w:tabs>
          <w:tab w:val="clear" w:pos="709"/>
          <w:tab w:val="left" w:pos="540" w:leader="none"/>
        </w:tabs>
        <w:ind w:firstLine="709" w:left="0" w:right="0"/>
        <w:jc w:val="both"/>
        <w:outlineLvl w:val="0"/>
        <w:rPr/>
      </w:pPr>
      <w:r>
        <w:rPr/>
        <w:t>11.6. Претендент не допускается к участию в продаже посредством публичного предложения по следующим основаниям:</w:t>
      </w:r>
    </w:p>
    <w:p>
      <w:pPr>
        <w:pStyle w:val="Normal"/>
        <w:numPr>
          <w:ilvl w:val="0"/>
          <w:numId w:val="0"/>
        </w:numPr>
        <w:tabs>
          <w:tab w:val="clear" w:pos="709"/>
          <w:tab w:val="left" w:pos="540" w:leader="none"/>
        </w:tabs>
        <w:ind w:firstLine="709" w:left="0" w:right="0"/>
        <w:jc w:val="both"/>
        <w:outlineLvl w:val="0"/>
        <w:rPr/>
      </w:pPr>
      <w:r>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pPr>
        <w:pStyle w:val="Normal"/>
        <w:numPr>
          <w:ilvl w:val="0"/>
          <w:numId w:val="0"/>
        </w:numPr>
        <w:tabs>
          <w:tab w:val="clear" w:pos="709"/>
          <w:tab w:val="left" w:pos="540" w:leader="none"/>
        </w:tabs>
        <w:ind w:firstLine="709" w:left="0" w:right="0"/>
        <w:jc w:val="both"/>
        <w:outlineLvl w:val="0"/>
        <w:rPr/>
      </w:pPr>
      <w:r>
        <w:rPr/>
        <w:t>б) представлены не все документы в соответствии с перечнем, указанным в информационном сообщении о проведении продажи посредством публичного предложения, или оформление представленных документов не соответствует законодательству Российской Федерации.</w:t>
      </w:r>
    </w:p>
    <w:p>
      <w:pPr>
        <w:pStyle w:val="Normal"/>
        <w:numPr>
          <w:ilvl w:val="0"/>
          <w:numId w:val="0"/>
        </w:numPr>
        <w:tabs>
          <w:tab w:val="clear" w:pos="709"/>
          <w:tab w:val="left" w:pos="540" w:leader="none"/>
        </w:tabs>
        <w:ind w:firstLine="709" w:left="0" w:right="0"/>
        <w:jc w:val="both"/>
        <w:outlineLvl w:val="0"/>
        <w:rPr/>
      </w:pPr>
      <w:r>
        <w:rPr/>
        <w:t>в) не подтверждено поступление в установленный срок задатка на счет Оператора, указанный в информационном сообщении.</w:t>
      </w:r>
    </w:p>
    <w:p>
      <w:pPr>
        <w:pStyle w:val="Normal"/>
        <w:numPr>
          <w:ilvl w:val="0"/>
          <w:numId w:val="0"/>
        </w:numPr>
        <w:tabs>
          <w:tab w:val="clear" w:pos="709"/>
          <w:tab w:val="left" w:pos="540" w:leader="none"/>
        </w:tabs>
        <w:ind w:firstLine="709" w:left="0" w:right="0"/>
        <w:jc w:val="both"/>
        <w:outlineLvl w:val="0"/>
        <w:rPr/>
      </w:pPr>
      <w:r>
        <w:rPr/>
        <w:t>г) заявка подана лицом, не уполномоченным Претендентом на осуществление таких действий.</w:t>
      </w:r>
    </w:p>
    <w:p>
      <w:pPr>
        <w:pStyle w:val="Normal"/>
        <w:numPr>
          <w:ilvl w:val="0"/>
          <w:numId w:val="0"/>
        </w:numPr>
        <w:tabs>
          <w:tab w:val="clear" w:pos="709"/>
          <w:tab w:val="left" w:pos="540" w:leader="none"/>
        </w:tabs>
        <w:ind w:firstLine="709" w:left="0" w:right="0"/>
        <w:jc w:val="both"/>
        <w:outlineLvl w:val="0"/>
        <w:rPr/>
      </w:pPr>
      <w:r>
        <w:rPr/>
      </w:r>
    </w:p>
    <w:p>
      <w:pPr>
        <w:pStyle w:val="Normal"/>
        <w:numPr>
          <w:ilvl w:val="0"/>
          <w:numId w:val="0"/>
        </w:numPr>
        <w:tabs>
          <w:tab w:val="clear" w:pos="709"/>
          <w:tab w:val="left" w:pos="540" w:leader="none"/>
        </w:tabs>
        <w:ind w:firstLine="709" w:left="0" w:right="0"/>
        <w:jc w:val="both"/>
        <w:outlineLvl w:val="0"/>
        <w:rPr/>
      </w:pPr>
      <w:r>
        <w:rPr/>
      </w:r>
    </w:p>
    <w:p>
      <w:pPr>
        <w:pStyle w:val="Normal"/>
        <w:spacing w:lineRule="auto" w:line="276" w:before="120" w:after="0"/>
        <w:ind w:firstLine="851" w:left="0" w:right="0"/>
        <w:contextualSpacing/>
        <w:jc w:val="center"/>
        <w:rPr>
          <w:b/>
        </w:rPr>
      </w:pPr>
      <w:r>
        <w:rPr>
          <w:b/>
        </w:rPr>
        <w:t>12. Порядок проведения продажи посредством публичного предложения</w:t>
      </w:r>
    </w:p>
    <w:p>
      <w:pPr>
        <w:pStyle w:val="Normal"/>
        <w:spacing w:lineRule="auto" w:line="276" w:before="120" w:after="0"/>
        <w:ind w:firstLine="851" w:left="0" w:right="0"/>
        <w:contextualSpacing/>
        <w:jc w:val="center"/>
        <w:rPr>
          <w:rFonts w:ascii="Calibri" w:hAnsi="Calibri"/>
          <w:b/>
          <w:sz w:val="22"/>
        </w:rPr>
      </w:pPr>
      <w:r>
        <w:rPr>
          <w:b/>
        </w:rPr>
        <w:t>и определения победителя</w:t>
      </w:r>
    </w:p>
    <w:p>
      <w:pPr>
        <w:pStyle w:val="Normal"/>
        <w:ind w:firstLine="709" w:left="0" w:right="0"/>
        <w:jc w:val="both"/>
        <w:rPr/>
      </w:pPr>
      <w:r>
        <w:rPr/>
        <w:t>12.1. Процедура продажи имущества проводится в день и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pPr>
        <w:pStyle w:val="Normal"/>
        <w:ind w:firstLine="709" w:left="0" w:right="0"/>
        <w:jc w:val="both"/>
        <w:rPr/>
      </w:pPr>
      <w:r>
        <w:rPr/>
        <w:t>12.2. «Шаг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pPr>
        <w:pStyle w:val="Normal"/>
        <w:ind w:firstLine="709" w:left="0" w:right="0"/>
        <w:jc w:val="both"/>
        <w:rPr/>
      </w:pPr>
      <w:r>
        <w:rPr/>
        <w:t>12.3.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pPr>
        <w:pStyle w:val="Normal"/>
        <w:ind w:firstLine="709" w:left="0" w:right="0"/>
        <w:jc w:val="both"/>
        <w:rPr/>
      </w:pPr>
      <w:r>
        <w:rPr/>
        <w:t>12.4. 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pPr>
        <w:pStyle w:val="Normal"/>
        <w:ind w:firstLine="709" w:left="0" w:right="0"/>
        <w:jc w:val="both"/>
        <w:rPr/>
      </w:pPr>
      <w:r>
        <w:rPr/>
        <w:t xml:space="preserve">12.5. В случае если любой из участников подтверждает цену первоначального предложения или цену предложения, сложившуюся на одном из "шагов понижения", со всеми участниками проводится продажа посредством </w:t>
      </w:r>
      <w:r>
        <w:rPr>
          <w:rFonts w:ascii="TimesNewRoman" w:hAnsi="TimesNewRoman"/>
        </w:rPr>
        <w:t>публичного предложения</w:t>
      </w:r>
      <w:r>
        <w:rPr/>
        <w:t xml:space="preserve"> в порядке, установленном </w:t>
      </w:r>
      <w:hyperlink r:id="rId12">
        <w:r>
          <w:rPr/>
          <w:t>разделом II</w:t>
        </w:r>
      </w:hyperlink>
      <w:r>
        <w:rPr/>
        <w:t xml:space="preserve"> Положения об организации и проведении продажи государственного или муниципального имущества в электронной форме (постановление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pPr>
        <w:pStyle w:val="Normal"/>
        <w:ind w:firstLine="709" w:left="0" w:right="0"/>
        <w:jc w:val="both"/>
        <w:rPr/>
      </w:pPr>
      <w:r>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pPr>
        <w:pStyle w:val="Normal"/>
        <w:ind w:firstLine="709" w:left="0" w:right="0"/>
        <w:jc w:val="both"/>
        <w:rPr/>
      </w:pPr>
      <w:r>
        <w:rPr/>
        <w:t>12.6. Со времени начала проведения процедуры продажи имущества посредством публичного предложения организатором размещается:</w:t>
      </w:r>
    </w:p>
    <w:p>
      <w:pPr>
        <w:pStyle w:val="Normal"/>
        <w:ind w:firstLine="709" w:left="0" w:right="0"/>
        <w:jc w:val="both"/>
        <w:rPr/>
      </w:pPr>
      <w:r>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 подтверждения) участниками предложения о цене имущества;</w:t>
      </w:r>
    </w:p>
    <w:p>
      <w:pPr>
        <w:pStyle w:val="Normal"/>
        <w:ind w:firstLine="709" w:left="0" w:right="0"/>
        <w:jc w:val="both"/>
        <w:rPr/>
      </w:pPr>
      <w:r>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pPr>
        <w:pStyle w:val="Normal"/>
        <w:ind w:firstLine="709" w:left="0" w:right="0"/>
        <w:jc w:val="both"/>
        <w:rPr/>
      </w:pPr>
      <w:r>
        <w:rPr/>
        <w:t>12.7. Во время проведения процедуры продажи имущества посредством публичного предложения организатор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pPr>
        <w:pStyle w:val="Normal"/>
        <w:ind w:firstLine="709" w:left="0" w:right="0"/>
        <w:jc w:val="both"/>
        <w:rPr/>
      </w:pPr>
      <w:r>
        <w:rPr/>
        <w:t>12.8. Ход проведения процедуры продажи имущества посредством публичного предложения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pPr>
        <w:pStyle w:val="Normal"/>
        <w:ind w:firstLine="709" w:left="0" w:right="0"/>
        <w:jc w:val="both"/>
        <w:rPr/>
      </w:pPr>
      <w:r>
        <w:rPr/>
        <w:t>12.9. 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организатора электронного журнала.</w:t>
      </w:r>
    </w:p>
    <w:p>
      <w:pPr>
        <w:pStyle w:val="Normal"/>
        <w:ind w:firstLine="709" w:left="0" w:right="0"/>
        <w:jc w:val="both"/>
        <w:rPr/>
      </w:pPr>
      <w:r>
        <w:rPr/>
        <w:t>12.10.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pPr>
        <w:pStyle w:val="Normal"/>
        <w:ind w:firstLine="709" w:left="0" w:right="0"/>
        <w:jc w:val="both"/>
        <w:rPr/>
      </w:pPr>
      <w:r>
        <w:rPr/>
        <w:t>12.11.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pPr>
        <w:pStyle w:val="Normal"/>
        <w:ind w:firstLine="709" w:left="0" w:right="0"/>
        <w:jc w:val="both"/>
        <w:rPr/>
      </w:pPr>
      <w:r>
        <w:rPr/>
        <w:t>а) наименование имущества и иные позволяющие его индивидуализировать сведения (спецификация лота);</w:t>
      </w:r>
    </w:p>
    <w:p>
      <w:pPr>
        <w:pStyle w:val="Normal"/>
        <w:ind w:firstLine="709" w:left="0" w:right="0"/>
        <w:jc w:val="both"/>
        <w:rPr/>
      </w:pPr>
      <w:r>
        <w:rPr/>
        <w:t>б) цена сделки;</w:t>
      </w:r>
    </w:p>
    <w:p>
      <w:pPr>
        <w:pStyle w:val="Normal"/>
        <w:ind w:firstLine="709" w:left="0" w:right="0"/>
        <w:jc w:val="both"/>
        <w:rPr/>
      </w:pPr>
      <w:r>
        <w:rPr/>
        <w:t>в) фамилия, имя, отчество физического лица или наименование юридического лица - победителя.</w:t>
      </w:r>
    </w:p>
    <w:p>
      <w:pPr>
        <w:pStyle w:val="Normal"/>
        <w:ind w:firstLine="709" w:left="0" w:right="0"/>
        <w:jc w:val="both"/>
        <w:rPr/>
      </w:pPr>
      <w:r>
        <w:rPr/>
        <w:t>12.12. Продажа имущества посредством публичного предложения признается несостоявшейся в следующих случаях:</w:t>
      </w:r>
    </w:p>
    <w:p>
      <w:pPr>
        <w:pStyle w:val="Normal"/>
        <w:ind w:firstLine="709" w:left="0" w:right="0"/>
        <w:jc w:val="both"/>
        <w:rPr/>
      </w:pPr>
      <w:r>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pPr>
        <w:pStyle w:val="Normal"/>
        <w:ind w:firstLine="709" w:left="0" w:right="0"/>
        <w:jc w:val="both"/>
        <w:rPr/>
      </w:pPr>
      <w:r>
        <w:rPr/>
        <w:t>б) принято решение о признании только одного претендента участником;</w:t>
      </w:r>
    </w:p>
    <w:p>
      <w:pPr>
        <w:pStyle w:val="Normal"/>
        <w:ind w:firstLine="709" w:left="0" w:right="0"/>
        <w:jc w:val="both"/>
        <w:rPr/>
      </w:pPr>
      <w:r>
        <w:rPr/>
        <w:t>в) ни один из участников не сделал предложение о цене имущества при достижении минимальной цены продажи (цены отсечения) имущества.</w:t>
      </w:r>
    </w:p>
    <w:p>
      <w:pPr>
        <w:pStyle w:val="Normal"/>
        <w:ind w:firstLine="709" w:left="0" w:right="0"/>
        <w:jc w:val="both"/>
        <w:rPr/>
      </w:pPr>
      <w:r>
        <w:rPr/>
        <w:t>12.13.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pPr>
        <w:pStyle w:val="Normal"/>
        <w:ind w:firstLine="709" w:left="0" w:right="0"/>
        <w:jc w:val="both"/>
        <w:rPr/>
      </w:pPr>
      <w:r>
        <w:rPr/>
      </w:r>
    </w:p>
    <w:p>
      <w:pPr>
        <w:pStyle w:val="BodyText2111"/>
        <w:tabs>
          <w:tab w:val="clear" w:pos="284"/>
          <w:tab w:val="left" w:pos="0" w:leader="none"/>
        </w:tabs>
        <w:ind w:firstLine="851" w:left="0" w:right="0"/>
        <w:jc w:val="center"/>
        <w:rPr>
          <w:b/>
        </w:rPr>
      </w:pPr>
      <w:r>
        <w:rPr>
          <w:b/>
        </w:rPr>
        <w:t>13. Срок заключения договора купли продажи имущества</w:t>
      </w:r>
    </w:p>
    <w:p>
      <w:pPr>
        <w:pStyle w:val="Normal"/>
        <w:tabs>
          <w:tab w:val="clear" w:pos="709"/>
          <w:tab w:val="left" w:pos="284" w:leader="none"/>
        </w:tabs>
        <w:ind w:firstLine="709" w:left="0" w:right="0"/>
        <w:jc w:val="both"/>
        <w:rPr/>
      </w:pPr>
      <w:r>
        <w:rPr/>
        <w:t>13.1. Договор купли-продажи имущества заключается между продавцом и победителем продажи посредством публичного предложения в установленном законодательством порядке в течение 5 (пяти) рабочих дней с даты подведения итогов продажи посредством публичного предложения в МТУ Росимущества по месту нахождения имущества.</w:t>
      </w:r>
    </w:p>
    <w:p>
      <w:pPr>
        <w:pStyle w:val="BodyTextIndent3111"/>
        <w:tabs>
          <w:tab w:val="clear" w:pos="709"/>
          <w:tab w:val="left" w:pos="0" w:leader="none"/>
        </w:tabs>
        <w:spacing w:before="0" w:after="0"/>
        <w:ind w:firstLine="709" w:left="0" w:right="0"/>
        <w:rPr>
          <w:b w:val="false"/>
          <w:sz w:val="24"/>
        </w:rPr>
      </w:pPr>
      <w:r>
        <w:rPr>
          <w:b w:val="false"/>
          <w:sz w:val="24"/>
        </w:rPr>
        <w:t>13.2. При уклонении или отказе победителя от заключения в установленный срок договора купли-продажи имущества результаты продажи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pPr>
        <w:pStyle w:val="BodyTextIndent3111"/>
        <w:tabs>
          <w:tab w:val="clear" w:pos="709"/>
          <w:tab w:val="left" w:pos="0" w:leader="none"/>
        </w:tabs>
        <w:spacing w:before="0" w:after="0"/>
        <w:ind w:firstLine="709" w:left="0" w:right="0"/>
        <w:rPr/>
      </w:pPr>
      <w:r>
        <w:rPr>
          <w:b w:val="false"/>
          <w:sz w:val="24"/>
        </w:rPr>
        <w:t>13.3.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Денежные средства в счет оплаты приватизируемого имущества подлежат перечислению (единовременно в безналичном порядке) победителем продажи посредством публичного предложения в федеральный бюджет на счет по следующим реквизитам:</w:t>
      </w:r>
    </w:p>
    <w:p>
      <w:pPr>
        <w:pStyle w:val="Normal"/>
        <w:tabs>
          <w:tab w:val="clear" w:pos="709"/>
          <w:tab w:val="left" w:pos="0" w:leader="none"/>
          <w:tab w:val="left" w:pos="284" w:leader="none"/>
        </w:tabs>
        <w:ind w:firstLine="709" w:left="0" w:right="0"/>
        <w:jc w:val="both"/>
        <w:rPr/>
      </w:pPr>
      <w:r>
        <w:rPr/>
        <w:t>Получатель: УФК по Калужской области (Межрегиональное территориальное управление Федерального агентства по управлению государственным имуществом в Калужской, Брянской и Смоленской областях) л/с 04371W08230;</w:t>
      </w:r>
    </w:p>
    <w:p>
      <w:pPr>
        <w:pStyle w:val="Normal"/>
        <w:tabs>
          <w:tab w:val="clear" w:pos="709"/>
          <w:tab w:val="left" w:pos="0" w:leader="none"/>
          <w:tab w:val="left" w:pos="284" w:leader="none"/>
        </w:tabs>
        <w:ind w:firstLine="709" w:left="0" w:right="0"/>
        <w:jc w:val="both"/>
        <w:rPr/>
      </w:pPr>
      <w:r>
        <w:rPr/>
        <w:t>ИНН 4027096522,КПП 402701001;</w:t>
      </w:r>
    </w:p>
    <w:p>
      <w:pPr>
        <w:pStyle w:val="Normal"/>
        <w:tabs>
          <w:tab w:val="clear" w:pos="709"/>
          <w:tab w:val="left" w:pos="0" w:leader="none"/>
          <w:tab w:val="left" w:pos="284" w:leader="none"/>
        </w:tabs>
        <w:ind w:firstLine="709" w:left="0" w:right="0"/>
        <w:jc w:val="both"/>
        <w:rPr/>
      </w:pPr>
      <w:r>
        <w:rPr/>
        <w:t>Единый казначейский счёт (кор. счёт) 40102810045370000030;</w:t>
      </w:r>
    </w:p>
    <w:p>
      <w:pPr>
        <w:pStyle w:val="Normal"/>
        <w:tabs>
          <w:tab w:val="clear" w:pos="709"/>
          <w:tab w:val="left" w:pos="0" w:leader="none"/>
          <w:tab w:val="left" w:pos="284" w:leader="none"/>
        </w:tabs>
        <w:ind w:firstLine="709" w:left="0" w:right="0"/>
        <w:jc w:val="both"/>
        <w:rPr/>
      </w:pPr>
      <w:r>
        <w:rPr/>
        <w:t xml:space="preserve">Расчетный счет  03100643000000013700; </w:t>
      </w:r>
    </w:p>
    <w:p>
      <w:pPr>
        <w:pStyle w:val="Normal"/>
        <w:tabs>
          <w:tab w:val="clear" w:pos="709"/>
          <w:tab w:val="left" w:pos="0" w:leader="none"/>
          <w:tab w:val="left" w:pos="284" w:leader="none"/>
        </w:tabs>
        <w:ind w:firstLine="709" w:left="0" w:right="0"/>
        <w:jc w:val="both"/>
        <w:rPr/>
      </w:pPr>
      <w:r>
        <w:rPr/>
        <w:t xml:space="preserve">Банк получателя: </w:t>
      </w:r>
      <w:r>
        <w:rPr>
          <w:rFonts w:ascii="XO Thames" w:hAnsi="XO Thames"/>
        </w:rPr>
        <w:t>ОКЦ № 9 ГУ Банка России по ЦФО//УФК по Калужской области</w:t>
      </w:r>
      <w:r>
        <w:rPr/>
        <w:t xml:space="preserve">; </w:t>
      </w:r>
    </w:p>
    <w:p>
      <w:pPr>
        <w:pStyle w:val="Normal"/>
        <w:tabs>
          <w:tab w:val="clear" w:pos="709"/>
          <w:tab w:val="left" w:pos="0" w:leader="none"/>
          <w:tab w:val="left" w:pos="284" w:leader="none"/>
        </w:tabs>
        <w:ind w:firstLine="709" w:left="0" w:right="0"/>
        <w:jc w:val="both"/>
        <w:rPr/>
      </w:pPr>
      <w:r>
        <w:rPr/>
        <w:t>БИК 012908002;</w:t>
      </w:r>
    </w:p>
    <w:p>
      <w:pPr>
        <w:pStyle w:val="Normal"/>
        <w:tabs>
          <w:tab w:val="clear" w:pos="709"/>
          <w:tab w:val="left" w:pos="0" w:leader="none"/>
          <w:tab w:val="left" w:pos="284" w:leader="none"/>
        </w:tabs>
        <w:ind w:firstLine="709" w:left="0" w:right="0"/>
        <w:jc w:val="both"/>
        <w:rPr/>
      </w:pPr>
      <w:r>
        <w:rPr/>
        <w:t>КБК 167 114 13010 01 6000 410;</w:t>
      </w:r>
    </w:p>
    <w:p>
      <w:pPr>
        <w:pStyle w:val="Normal"/>
        <w:tabs>
          <w:tab w:val="clear" w:pos="709"/>
          <w:tab w:val="left" w:pos="0" w:leader="none"/>
          <w:tab w:val="left" w:pos="284" w:leader="none"/>
        </w:tabs>
        <w:ind w:firstLine="709" w:left="0" w:right="0"/>
        <w:jc w:val="both"/>
        <w:rPr/>
      </w:pPr>
      <w:r>
        <w:rPr/>
        <w:t>ОКТМО 29701000.</w:t>
      </w:r>
    </w:p>
    <w:p>
      <w:pPr>
        <w:pStyle w:val="Normal"/>
        <w:tabs>
          <w:tab w:val="clear" w:pos="709"/>
          <w:tab w:val="left" w:pos="0" w:leader="none"/>
          <w:tab w:val="left" w:pos="284" w:leader="none"/>
        </w:tabs>
        <w:ind w:firstLine="709" w:left="0" w:right="0"/>
        <w:jc w:val="both"/>
        <w:rPr/>
      </w:pPr>
      <w:r>
        <w:rPr/>
        <w:t>В назначении платежа указывается: наименование имущества, дата и номер договора купли-продажи, а также информация о НДС.</w:t>
      </w:r>
    </w:p>
    <w:p>
      <w:pPr>
        <w:pStyle w:val="BodyText2111"/>
        <w:tabs>
          <w:tab w:val="left" w:pos="0" w:leader="none"/>
          <w:tab w:val="left" w:pos="284" w:leader="none"/>
        </w:tabs>
        <w:ind w:firstLine="709" w:left="0" w:right="0"/>
        <w:rPr/>
      </w:pPr>
      <w:r>
        <w:rPr/>
        <w:t>13.4. Задаток, перечисленный покупателем для участия в продаже посредством публичного предложения, засчитывается в счет оплаты имущества.</w:t>
      </w:r>
    </w:p>
    <w:p>
      <w:pPr>
        <w:pStyle w:val="BodyTextIndent2111"/>
        <w:ind w:firstLine="709" w:left="0" w:right="0"/>
        <w:rPr/>
      </w:pPr>
      <w:r>
        <w:rPr/>
        <w:t xml:space="preserve">13.5. Факт оплаты имущества подтверждается выпиской со счета о поступлении средств в размере и сроки, указанные в договоре купли-продажи. </w:t>
      </w:r>
    </w:p>
    <w:p>
      <w:pPr>
        <w:pStyle w:val="BodyTextIndent2111"/>
        <w:ind w:firstLine="709" w:left="0" w:right="0"/>
        <w:rPr/>
      </w:pPr>
      <w:r>
        <w:rP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pPr>
        <w:pStyle w:val="BodyText2111"/>
        <w:tabs>
          <w:tab w:val="clear" w:pos="284"/>
          <w:tab w:val="left" w:pos="0" w:leader="none"/>
        </w:tabs>
        <w:ind w:firstLine="851" w:left="0" w:right="0"/>
        <w:jc w:val="center"/>
        <w:rPr>
          <w:b/>
        </w:rPr>
      </w:pPr>
      <w:r>
        <w:rPr>
          <w:b/>
        </w:rPr>
      </w:r>
    </w:p>
    <w:p>
      <w:pPr>
        <w:pStyle w:val="BodyText2111"/>
        <w:tabs>
          <w:tab w:val="clear" w:pos="284"/>
          <w:tab w:val="left" w:pos="0" w:leader="none"/>
        </w:tabs>
        <w:ind w:firstLine="851" w:left="0" w:right="0"/>
        <w:jc w:val="center"/>
        <w:rPr>
          <w:b/>
        </w:rPr>
      </w:pPr>
      <w:r>
        <w:rPr>
          <w:b/>
        </w:rPr>
        <w:t>14. Переход права собственности на федеральное имущество</w:t>
      </w:r>
    </w:p>
    <w:p>
      <w:pPr>
        <w:pStyle w:val="BodyTextIndent2111"/>
        <w:ind w:firstLine="709" w:left="0" w:right="0"/>
        <w:rPr/>
      </w:pPr>
      <w:r>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pPr>
        <w:pStyle w:val="BodyTextIndent3111"/>
        <w:spacing w:before="0" w:after="0"/>
        <w:ind w:firstLine="709" w:left="0" w:right="0"/>
        <w:rPr/>
      </w:pPr>
      <w:r>
        <w:rPr>
          <w:b w:val="false"/>
          <w:sz w:val="24"/>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pPr>
        <w:pStyle w:val="BodyTextIndent3111"/>
        <w:tabs>
          <w:tab w:val="clear" w:pos="709"/>
          <w:tab w:val="left" w:pos="1080" w:leader="none"/>
        </w:tabs>
        <w:spacing w:before="0" w:after="0"/>
        <w:ind w:firstLine="851" w:left="0" w:right="0"/>
        <w:jc w:val="center"/>
        <w:rPr>
          <w:sz w:val="24"/>
        </w:rPr>
      </w:pPr>
      <w:r>
        <w:rPr>
          <w:sz w:val="24"/>
        </w:rPr>
      </w:r>
    </w:p>
    <w:p>
      <w:pPr>
        <w:pStyle w:val="BodyTextIndent3111"/>
        <w:tabs>
          <w:tab w:val="clear" w:pos="709"/>
          <w:tab w:val="left" w:pos="1080" w:leader="none"/>
        </w:tabs>
        <w:spacing w:before="0" w:after="0"/>
        <w:ind w:firstLine="851" w:left="0" w:right="0"/>
        <w:jc w:val="center"/>
        <w:rPr>
          <w:sz w:val="24"/>
        </w:rPr>
      </w:pPr>
      <w:r>
        <w:rPr>
          <w:sz w:val="24"/>
        </w:rPr>
        <w:t>15. Заключительные положения</w:t>
      </w:r>
    </w:p>
    <w:p>
      <w:pPr>
        <w:pStyle w:val="Normal"/>
        <w:ind w:firstLine="851" w:left="0" w:right="0"/>
        <w:jc w:val="both"/>
        <w:rPr/>
      </w:pPr>
      <w:r>
        <w:rPr/>
        <w:t>15.1. Все вопросы, касающиеся проведения продажи посредством публичного предложения в электронной форме не нашедшие отражения в настоящем информационном сообщении, регулируются законодательством Российской Федерации.</w:t>
      </w:r>
    </w:p>
    <w:p>
      <w:pPr>
        <w:pStyle w:val="Normal"/>
        <w:jc w:val="both"/>
        <w:rPr/>
      </w:pPr>
      <w:r>
        <w:rPr/>
      </w:r>
    </w:p>
    <w:p>
      <w:pPr>
        <w:pStyle w:val="Normal"/>
        <w:ind w:firstLine="709" w:left="0" w:right="0"/>
        <w:jc w:val="both"/>
        <w:rPr/>
      </w:pPr>
      <w:r>
        <w:rPr/>
        <w:t>Приложение:</w:t>
      </w:r>
    </w:p>
    <w:p>
      <w:pPr>
        <w:pStyle w:val="Normal"/>
        <w:jc w:val="both"/>
        <w:rPr/>
      </w:pPr>
      <w:r>
        <w:rPr/>
        <w:t>1. Форма заявки, на 2 л. в 1 экз.;</w:t>
      </w:r>
    </w:p>
    <w:p>
      <w:pPr>
        <w:pStyle w:val="Normal"/>
        <w:jc w:val="both"/>
        <w:rPr/>
      </w:pPr>
      <w:r>
        <w:rPr/>
        <w:t>2. Проект договора купли-продажи, на 4 л. в 1 экз.</w:t>
      </w:r>
    </w:p>
    <w:p>
      <w:pPr>
        <w:pStyle w:val="Normal"/>
        <w:jc w:val="both"/>
        <w:rPr/>
      </w:pPr>
      <w:r>
        <w:rPr/>
      </w:r>
    </w:p>
    <w:sectPr>
      <w:headerReference w:type="default" r:id="rId13"/>
      <w:headerReference w:type="first" r:id="rId14"/>
      <w:footnotePr>
        <w:numFmt w:val="decimal"/>
      </w:footnotePr>
      <w:type w:val="nextPage"/>
      <w:pgSz w:w="11906" w:h="16838"/>
      <w:pgMar w:left="1276" w:right="566" w:gutter="0" w:header="708" w:top="1134" w:footer="0"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XO Thames">
    <w:charset w:val="01"/>
    <w:family w:val="roman"/>
    <w:pitch w:val="variable"/>
  </w:font>
  <w:font w:name="Liberation Sans">
    <w:altName w:val="Arial"/>
    <w:charset w:val="01"/>
    <w:family w:val="roman"/>
    <w:pitch w:val="variable"/>
  </w:font>
  <w:font w:name="Tahoma">
    <w:charset w:val="01"/>
    <w:family w:val="roman"/>
    <w:pitch w:val="variable"/>
  </w:font>
  <w:font w:name="Verdana">
    <w:charset w:val="01"/>
    <w:family w:val="roman"/>
    <w:pitch w:val="variable"/>
  </w:font>
  <w:font w:name="Liberation Sans">
    <w:altName w:val="Arial"/>
    <w:charset w:val="01"/>
    <w:family w:val="swiss"/>
    <w:pitch w:val="variable"/>
  </w:font>
  <w:font w:name="TimesNewRoman">
    <w:charset w:val="01"/>
    <w:family w:val="roman"/>
    <w:pitch w:val="variable"/>
  </w:font>
  <w:font w:name="TimesNewRoman">
    <w:altName w:val="Bold"/>
    <w:charset w:val="01"/>
    <w:family w:val="roman"/>
    <w:pitch w:val="variable"/>
  </w:font>
  <w:font w:name="Times New Roman CYR">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Web111"/>
        <w:spacing w:before="280" w:after="0"/>
        <w:jc w:val="both"/>
        <w:rPr>
          <w:b/>
          <w:color w:val="282828"/>
          <w:sz w:val="20"/>
        </w:rPr>
      </w:pPr>
      <w:r>
        <w:rPr>
          <w:rStyle w:val="Style12"/>
        </w:rPr>
        <w:footnoteRef/>
      </w:r>
      <w:r>
        <w:rPr/>
        <w:t xml:space="preserve"> </w:t>
      </w:r>
      <w:r>
        <w:rPr/>
        <w:tab/>
      </w:r>
      <w:r>
        <w:rPr>
          <w:b/>
          <w:sz w:val="20"/>
        </w:rPr>
        <w:t xml:space="preserve">Обращаем внимание, </w:t>
      </w:r>
      <w:r>
        <w:rPr>
          <w:b/>
          <w:color w:val="282828"/>
          <w:sz w:val="20"/>
        </w:rPr>
        <w:t>что с 01.01.2022 года при перечислении денежных средств на лицевые счета Росимущества и его территориальных органов для учета операций со средствами, поступающими во временное распоряжение получателей средств федерального бюджета, плательщик обязан указывать код нормативного акта или уникального идентификатора платежа в поле </w:t>
      </w:r>
      <w:r>
        <w:rPr>
          <w:color w:val="282828"/>
          <w:sz w:val="20"/>
        </w:rPr>
        <w:t>22 «Код»</w:t>
      </w:r>
      <w:r>
        <w:rPr>
          <w:b/>
          <w:color w:val="282828"/>
          <w:sz w:val="20"/>
        </w:rPr>
        <w:t xml:space="preserve"> платежного поручения, форма которого установлена в положении Банка России от 29.06.2021 № 762-П «О правилах осуществления перевода денежных средств». </w:t>
      </w:r>
    </w:p>
    <w:p>
      <w:pPr>
        <w:pStyle w:val="NormalWeb111"/>
        <w:spacing w:before="280" w:after="0"/>
        <w:ind w:firstLine="708" w:left="0" w:right="0"/>
        <w:jc w:val="both"/>
        <w:rPr>
          <w:b/>
          <w:color w:val="282828"/>
          <w:sz w:val="20"/>
        </w:rPr>
      </w:pPr>
      <w:r>
        <w:rPr>
          <w:b/>
          <w:color w:val="282828"/>
          <w:sz w:val="20"/>
        </w:rPr>
        <w:t>В случае отсутствия в платежном поручении указанного реквизита, или его несоответствия, денежные средства будут учитываться территориальными органами Федерального казначейства как невыясненные поступления.</w:t>
      </w:r>
    </w:p>
    <w:p>
      <w:pPr>
        <w:pStyle w:val="NormalWeb111"/>
        <w:spacing w:before="280" w:after="0"/>
        <w:ind w:firstLine="708" w:left="0" w:right="0"/>
        <w:jc w:val="both"/>
        <w:rPr>
          <w:b/>
          <w:color w:val="282828"/>
          <w:sz w:val="20"/>
        </w:rPr>
      </w:pPr>
      <w:r>
        <w:rPr>
          <w:b/>
          <w:color w:val="282828"/>
          <w:sz w:val="20"/>
        </w:rPr>
        <w:t>При учете перечисленных денежных средств как невыясненных поступлений срочные обязательства претендентов, участвующих в торгах, и победителей торгов по продаже имущества по перечислению задатков или сумм основных платежей за имущество могут считаться неисполненными.</w:t>
      </w:r>
    </w:p>
    <w:p>
      <w:pPr>
        <w:pStyle w:val="Footnote111"/>
        <w:jc w:val="both"/>
        <w:rPr>
          <w:b/>
        </w:rPr>
      </w:pPr>
      <w:r>
        <w:rPr>
          <w:b/>
        </w:rPr>
      </w:r>
    </w:p>
    <w:p>
      <w:pPr>
        <w:pStyle w:val="Footnote111"/>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14</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3"/>
      <w:numFmt w:val="decimal"/>
      <w:lvlText w:val="%1."/>
      <w:lvlJc w:val="left"/>
      <w:pPr>
        <w:tabs>
          <w:tab w:val="num" w:pos="0"/>
        </w:tabs>
        <w:ind w:left="720" w:hanging="360"/>
      </w:pPr>
      <w:rPr/>
    </w:lvl>
    <w:lvl w:ilvl="1">
      <w:start w:val="6"/>
      <w:numFmt w:val="decimal"/>
      <w:lvlText w:val="%1.%2."/>
      <w:lvlJc w:val="left"/>
      <w:pPr>
        <w:tabs>
          <w:tab w:val="num" w:pos="0"/>
        </w:tabs>
        <w:ind w:left="1074" w:hanging="540"/>
      </w:pPr>
      <w:rPr/>
    </w:lvl>
    <w:lvl w:ilvl="2">
      <w:start w:val="2"/>
      <w:numFmt w:val="decimal"/>
      <w:lvlText w:val="%1.%2.%3."/>
      <w:lvlJc w:val="left"/>
      <w:pPr>
        <w:tabs>
          <w:tab w:val="num" w:pos="0"/>
        </w:tabs>
        <w:ind w:left="1428" w:hanging="720"/>
      </w:pPr>
      <w:rPr/>
    </w:lvl>
    <w:lvl w:ilvl="3">
      <w:start w:val="1"/>
      <w:numFmt w:val="decimal"/>
      <w:lvlText w:val="%1.%2.%3.%4."/>
      <w:lvlJc w:val="left"/>
      <w:pPr>
        <w:tabs>
          <w:tab w:val="num" w:pos="0"/>
        </w:tabs>
        <w:ind w:left="1602" w:hanging="720"/>
      </w:pPr>
      <w:rPr/>
    </w:lvl>
    <w:lvl w:ilvl="4">
      <w:start w:val="1"/>
      <w:numFmt w:val="decimal"/>
      <w:lvlText w:val="%1.%2.%3.%4.%5."/>
      <w:lvlJc w:val="left"/>
      <w:pPr>
        <w:tabs>
          <w:tab w:val="num" w:pos="0"/>
        </w:tabs>
        <w:ind w:left="2136" w:hanging="1080"/>
      </w:pPr>
      <w:rPr/>
    </w:lvl>
    <w:lvl w:ilvl="5">
      <w:start w:val="1"/>
      <w:numFmt w:val="decimal"/>
      <w:lvlText w:val="%1.%2.%3.%4.%5.%6."/>
      <w:lvlJc w:val="left"/>
      <w:pPr>
        <w:tabs>
          <w:tab w:val="num" w:pos="0"/>
        </w:tabs>
        <w:ind w:left="2310" w:hanging="1080"/>
      </w:pPr>
      <w:rPr/>
    </w:lvl>
    <w:lvl w:ilvl="6">
      <w:start w:val="1"/>
      <w:numFmt w:val="decimal"/>
      <w:lvlText w:val="%1.%2.%3.%4.%5.%6.%7."/>
      <w:lvlJc w:val="left"/>
      <w:pPr>
        <w:tabs>
          <w:tab w:val="num" w:pos="0"/>
        </w:tabs>
        <w:ind w:left="2844" w:hanging="1440"/>
      </w:pPr>
      <w:rPr/>
    </w:lvl>
    <w:lvl w:ilvl="7">
      <w:start w:val="1"/>
      <w:numFmt w:val="decimal"/>
      <w:lvlText w:val="%1.%2.%3.%4.%5.%6.%7.%8."/>
      <w:lvlJc w:val="left"/>
      <w:pPr>
        <w:tabs>
          <w:tab w:val="num" w:pos="0"/>
        </w:tabs>
        <w:ind w:left="3018" w:hanging="1440"/>
      </w:pPr>
      <w:rPr/>
    </w:lvl>
    <w:lvl w:ilvl="8">
      <w:start w:val="1"/>
      <w:numFmt w:val="decimal"/>
      <w:lvlText w:val="%1.%2.%3.%4.%5.%6.%7.%8.%9."/>
      <w:lvlJc w:val="left"/>
      <w:pPr>
        <w:tabs>
          <w:tab w:val="num" w:pos="0"/>
        </w:tabs>
        <w:ind w:left="3552" w:hanging="1800"/>
      </w:pPr>
      <w:rPr/>
    </w:lvl>
  </w:abstractNum>
  <w:abstractNum w:abstractNumId="3">
    <w:lvl w:ilvl="0">
      <w:start w:val="6"/>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9"/>
      <w:numFmt w:val="decimal"/>
      <w:lvlText w:val="%1."/>
      <w:lvlJc w:val="left"/>
      <w:pPr>
        <w:tabs>
          <w:tab w:val="num" w:pos="0"/>
        </w:tabs>
        <w:ind w:left="360" w:hanging="360"/>
      </w:pPr>
      <w:rPr/>
    </w:lvl>
    <w:lvl w:ilvl="1">
      <w:start w:val="2"/>
      <w:numFmt w:val="decimal"/>
      <w:lvlText w:val="%1.%2."/>
      <w:lvlJc w:val="left"/>
      <w:pPr>
        <w:tabs>
          <w:tab w:val="num" w:pos="0"/>
        </w:tabs>
        <w:ind w:left="1080" w:hanging="360"/>
      </w:pPr>
      <w:rPr/>
    </w:lvl>
    <w:lvl w:ilvl="2">
      <w:start w:val="1"/>
      <w:numFmt w:val="decimal"/>
      <w:lvlText w:val="%1.%2.%3."/>
      <w:lvlJc w:val="left"/>
      <w:pPr>
        <w:tabs>
          <w:tab w:val="num" w:pos="0"/>
        </w:tabs>
        <w:ind w:left="2160" w:hanging="720"/>
      </w:pPr>
      <w:rPr/>
    </w:lvl>
    <w:lvl w:ilvl="3">
      <w:start w:val="1"/>
      <w:numFmt w:val="decimal"/>
      <w:lvlText w:val="%1.%2.%3.%4."/>
      <w:lvlJc w:val="left"/>
      <w:pPr>
        <w:tabs>
          <w:tab w:val="num" w:pos="0"/>
        </w:tabs>
        <w:ind w:left="2880" w:hanging="720"/>
      </w:pPr>
      <w:rPr/>
    </w:lvl>
    <w:lvl w:ilvl="4">
      <w:start w:val="1"/>
      <w:numFmt w:val="decimal"/>
      <w:lvlText w:val="%1.%2.%3.%4.%5."/>
      <w:lvlJc w:val="left"/>
      <w:pPr>
        <w:tabs>
          <w:tab w:val="num" w:pos="0"/>
        </w:tabs>
        <w:ind w:left="3960" w:hanging="1080"/>
      </w:pPr>
      <w:rPr/>
    </w:lvl>
    <w:lvl w:ilvl="5">
      <w:start w:val="1"/>
      <w:numFmt w:val="decimal"/>
      <w:lvlText w:val="%1.%2.%3.%4.%5.%6."/>
      <w:lvlJc w:val="left"/>
      <w:pPr>
        <w:tabs>
          <w:tab w:val="num" w:pos="0"/>
        </w:tabs>
        <w:ind w:left="4680" w:hanging="1080"/>
      </w:pPr>
      <w:rPr/>
    </w:lvl>
    <w:lvl w:ilvl="6">
      <w:start w:val="1"/>
      <w:numFmt w:val="decimal"/>
      <w:lvlText w:val="%1.%2.%3.%4.%5.%6.%7."/>
      <w:lvlJc w:val="left"/>
      <w:pPr>
        <w:tabs>
          <w:tab w:val="num" w:pos="0"/>
        </w:tabs>
        <w:ind w:left="5760" w:hanging="1440"/>
      </w:pPr>
      <w:rPr/>
    </w:lvl>
    <w:lvl w:ilvl="7">
      <w:start w:val="1"/>
      <w:numFmt w:val="decimal"/>
      <w:lvlText w:val="%1.%2.%3.%4.%5.%6.%7.%8."/>
      <w:lvlJc w:val="left"/>
      <w:pPr>
        <w:tabs>
          <w:tab w:val="num" w:pos="0"/>
        </w:tabs>
        <w:ind w:left="6480" w:hanging="1440"/>
      </w:pPr>
      <w:rPr/>
    </w:lvl>
    <w:lvl w:ilvl="8">
      <w:start w:val="1"/>
      <w:numFmt w:val="decimal"/>
      <w:lvlText w:val="%1.%2.%3.%4.%5.%6.%7.%8.%9."/>
      <w:lvlJc w:val="left"/>
      <w:pPr>
        <w:tabs>
          <w:tab w:val="num" w:pos="0"/>
        </w:tabs>
        <w:ind w:left="7560" w:hanging="180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9"/>
  <w:defaultTabStop w:val="709"/>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Droid Sans Devanagari"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40" w:before="0" w:after="0"/>
      <w:ind w:hanging="0" w:left="0" w:right="0"/>
      <w:jc w:val="left"/>
    </w:pPr>
    <w:rPr>
      <w:rFonts w:ascii="Times New Roman" w:hAnsi="Times New Roman" w:eastAsia="Droid Sans Fallback" w:cs="Droid Sans Devanagari"/>
      <w:color w:val="000000"/>
      <w:spacing w:val="0"/>
      <w:kern w:val="0"/>
      <w:sz w:val="24"/>
      <w:szCs w:val="20"/>
      <w:lang w:val="ru-RU" w:eastAsia="zh-CN" w:bidi="hi-IN"/>
    </w:rPr>
  </w:style>
  <w:style w:type="paragraph" w:styleId="Heading1">
    <w:name w:val="Heading 1"/>
    <w:basedOn w:val="Normal"/>
    <w:next w:val="Normal"/>
    <w:uiPriority w:val="9"/>
    <w:qFormat/>
    <w:pPr>
      <w:keepNext w:val="true"/>
      <w:spacing w:before="240" w:after="60"/>
      <w:outlineLvl w:val="0"/>
    </w:pPr>
    <w:rPr>
      <w:rFonts w:ascii="Arial" w:hAnsi="Arial"/>
      <w:b/>
      <w:sz w:val="32"/>
    </w:rPr>
  </w:style>
  <w:style w:type="paragraph" w:styleId="Heading2">
    <w:name w:val="Heading 2"/>
    <w:basedOn w:val="Normal"/>
    <w:uiPriority w:val="9"/>
    <w:qFormat/>
    <w:pPr>
      <w:spacing w:beforeAutospacing="1" w:afterAutospacing="1"/>
      <w:outlineLvl w:val="1"/>
    </w:pPr>
    <w:rPr>
      <w:b/>
      <w:sz w:val="36"/>
    </w:rPr>
  </w:style>
  <w:style w:type="paragraph" w:styleId="Heading3">
    <w:name w:val="Heading 3"/>
    <w:next w:val="Normal"/>
    <w:uiPriority w:val="9"/>
    <w:qFormat/>
    <w:pPr>
      <w:widowControl/>
      <w:suppressAutoHyphens w:val="true"/>
      <w:bidi w:val="0"/>
      <w:spacing w:lineRule="auto" w:line="240" w:before="120" w:after="120"/>
      <w:ind w:hanging="0" w:left="0" w:right="0"/>
      <w:jc w:val="both"/>
      <w:outlineLvl w:val="2"/>
    </w:pPr>
    <w:rPr>
      <w:rFonts w:ascii="XO Thames" w:hAnsi="XO Thames" w:eastAsia="Droid Sans Fallback" w:cs="Droid Sans Devanagari"/>
      <w:b/>
      <w:color w:val="000000"/>
      <w:spacing w:val="0"/>
      <w:kern w:val="0"/>
      <w:sz w:val="26"/>
      <w:szCs w:val="20"/>
      <w:lang w:val="ru-RU" w:eastAsia="zh-CN" w:bidi="hi-IN"/>
    </w:rPr>
  </w:style>
  <w:style w:type="paragraph" w:styleId="Heading4">
    <w:name w:val="Heading 4"/>
    <w:next w:val="Normal"/>
    <w:uiPriority w:val="9"/>
    <w:qFormat/>
    <w:pPr>
      <w:widowControl/>
      <w:suppressAutoHyphens w:val="true"/>
      <w:bidi w:val="0"/>
      <w:spacing w:lineRule="auto" w:line="240" w:before="120" w:after="120"/>
      <w:ind w:hanging="0" w:left="0" w:right="0"/>
      <w:jc w:val="both"/>
      <w:outlineLvl w:val="3"/>
    </w:pPr>
    <w:rPr>
      <w:rFonts w:ascii="XO Thames" w:hAnsi="XO Thames" w:eastAsia="Droid Sans Fallback" w:cs="Droid Sans Devanagari"/>
      <w:b/>
      <w:color w:val="000000"/>
      <w:spacing w:val="0"/>
      <w:kern w:val="0"/>
      <w:sz w:val="24"/>
      <w:szCs w:val="20"/>
      <w:lang w:val="ru-RU" w:eastAsia="zh-CN" w:bidi="hi-IN"/>
    </w:rPr>
  </w:style>
  <w:style w:type="paragraph" w:styleId="Heading5">
    <w:name w:val="Heading 5"/>
    <w:next w:val="Normal"/>
    <w:uiPriority w:val="9"/>
    <w:qFormat/>
    <w:pPr>
      <w:widowControl/>
      <w:suppressAutoHyphens w:val="true"/>
      <w:bidi w:val="0"/>
      <w:spacing w:lineRule="auto" w:line="240" w:before="120" w:after="120"/>
      <w:ind w:hanging="0" w:left="0" w:right="0"/>
      <w:jc w:val="both"/>
      <w:outlineLvl w:val="4"/>
    </w:pPr>
    <w:rPr>
      <w:rFonts w:ascii="XO Thames" w:hAnsi="XO Thames" w:eastAsia="Droid Sans Fallback" w:cs="Droid Sans Devanagari"/>
      <w:b/>
      <w:color w:val="000000"/>
      <w:spacing w:val="0"/>
      <w:kern w:val="0"/>
      <w:sz w:val="22"/>
      <w:szCs w:val="20"/>
      <w:lang w:val="ru-RU" w:eastAsia="zh-CN" w:bidi="hi-IN"/>
    </w:rPr>
  </w:style>
  <w:style w:type="character" w:styleId="1111111111111111111">
    <w:name w:val="Заголовок1111111111111111111"/>
    <w:link w:val="111111111111111111111"/>
    <w:qFormat/>
    <w:rPr>
      <w:rFonts w:ascii="Liberation Sans" w:hAnsi="Liberation Sans"/>
      <w:sz w:val="28"/>
    </w:rPr>
  </w:style>
  <w:style w:type="character" w:styleId="12">
    <w:name w:val="Указатель12"/>
    <w:link w:val="1212"/>
    <w:qFormat/>
    <w:rPr/>
  </w:style>
  <w:style w:type="character" w:styleId="BodyText211">
    <w:name w:val="Body Text 211"/>
    <w:link w:val="BodyText2111"/>
    <w:qFormat/>
    <w:rPr/>
  </w:style>
  <w:style w:type="character" w:styleId="112">
    <w:name w:val="Указатель112"/>
    <w:link w:val="11211"/>
    <w:qFormat/>
    <w:rPr/>
  </w:style>
  <w:style w:type="character" w:styleId="Contents2">
    <w:name w:val="Contents 2"/>
    <w:qFormat/>
    <w:rPr>
      <w:rFonts w:ascii="XO Thames" w:hAnsi="XO Thames"/>
      <w:color w:val="000000"/>
      <w:spacing w:val="0"/>
      <w:sz w:val="28"/>
    </w:rPr>
  </w:style>
  <w:style w:type="character" w:styleId="1111112">
    <w:name w:val="Указатель1111112"/>
    <w:link w:val="111111211"/>
    <w:qFormat/>
    <w:rPr/>
  </w:style>
  <w:style w:type="character" w:styleId="Textbodyindent1">
    <w:name w:val="Text body indent1"/>
    <w:link w:val="Textbodyindent11"/>
    <w:qFormat/>
    <w:rPr>
      <w:sz w:val="20"/>
    </w:rPr>
  </w:style>
  <w:style w:type="character" w:styleId="11111111111111112">
    <w:name w:val="Указатель11111111111111112"/>
    <w:link w:val="1111111111111111211"/>
    <w:qFormat/>
    <w:rPr/>
  </w:style>
  <w:style w:type="character" w:styleId="Heading112">
    <w:name w:val="Heading 112"/>
    <w:link w:val="Heading1121"/>
    <w:qFormat/>
    <w:rPr>
      <w:rFonts w:ascii="Arial" w:hAnsi="Arial"/>
      <w:b/>
      <w:color w:val="000000"/>
      <w:spacing w:val="0"/>
      <w:sz w:val="32"/>
    </w:rPr>
  </w:style>
  <w:style w:type="character" w:styleId="111111111111112">
    <w:name w:val="Указатель111111111111112"/>
    <w:link w:val="11111111111111211"/>
    <w:qFormat/>
    <w:rPr/>
  </w:style>
  <w:style w:type="character" w:styleId="Contents4">
    <w:name w:val="Contents 4"/>
    <w:qFormat/>
    <w:rPr>
      <w:rFonts w:ascii="XO Thames" w:hAnsi="XO Thames"/>
      <w:color w:val="000000"/>
      <w:spacing w:val="0"/>
      <w:sz w:val="28"/>
    </w:rPr>
  </w:style>
  <w:style w:type="character" w:styleId="NormalWeb11">
    <w:name w:val="Normal (Web)11"/>
    <w:link w:val="NormalWeb111"/>
    <w:qFormat/>
    <w:rPr/>
  </w:style>
  <w:style w:type="character" w:styleId="Textbody">
    <w:name w:val="Text body"/>
    <w:qFormat/>
    <w:rPr/>
  </w:style>
  <w:style w:type="character" w:styleId="111111111112">
    <w:name w:val="Заголовок111111111112"/>
    <w:link w:val="11111111111211"/>
    <w:qFormat/>
    <w:rPr>
      <w:rFonts w:ascii="Liberation Sans" w:hAnsi="Liberation Sans"/>
      <w:sz w:val="28"/>
    </w:rPr>
  </w:style>
  <w:style w:type="character" w:styleId="Contents6">
    <w:name w:val="Contents 6"/>
    <w:qFormat/>
    <w:rPr>
      <w:rFonts w:ascii="XO Thames" w:hAnsi="XO Thames"/>
      <w:color w:val="000000"/>
      <w:spacing w:val="0"/>
      <w:sz w:val="28"/>
    </w:rPr>
  </w:style>
  <w:style w:type="character" w:styleId="Footer1">
    <w:name w:val="Footer1"/>
    <w:qFormat/>
    <w:rPr>
      <w:rFonts w:ascii="Calibri" w:hAnsi="Calibri" w:asciiTheme="minorAscii" w:hAnsiTheme="minorHAnsi"/>
      <w:sz w:val="22"/>
    </w:rPr>
  </w:style>
  <w:style w:type="character" w:styleId="EndnoteSymbol1">
    <w:name w:val="Endnote Symbol1"/>
    <w:link w:val="EndnoteSymbol11"/>
    <w:qFormat/>
    <w:rPr>
      <w:rFonts w:ascii="Calibri" w:hAnsi="Calibri" w:asciiTheme="minorAscii" w:hAnsiTheme="minorHAnsi"/>
      <w:color w:val="000000"/>
      <w:spacing w:val="0"/>
      <w:sz w:val="22"/>
      <w:vertAlign w:val="superscript"/>
    </w:rPr>
  </w:style>
  <w:style w:type="character" w:styleId="Contents7">
    <w:name w:val="Contents 7"/>
    <w:qFormat/>
    <w:rPr>
      <w:rFonts w:ascii="XO Thames" w:hAnsi="XO Thames"/>
      <w:color w:val="000000"/>
      <w:spacing w:val="0"/>
      <w:sz w:val="28"/>
    </w:rPr>
  </w:style>
  <w:style w:type="character" w:styleId="Header12">
    <w:name w:val="Header12"/>
    <w:link w:val="Header121"/>
    <w:qFormat/>
    <w:rPr>
      <w:rFonts w:ascii="Calibri" w:hAnsi="Calibri" w:asciiTheme="minorAscii" w:hAnsiTheme="minorHAnsi"/>
      <w:color w:val="000000"/>
      <w:spacing w:val="0"/>
      <w:sz w:val="20"/>
    </w:rPr>
  </w:style>
  <w:style w:type="character" w:styleId="Contents22">
    <w:name w:val="Contents 22"/>
    <w:link w:val="Contents221"/>
    <w:qFormat/>
    <w:rPr>
      <w:rFonts w:ascii="XO Thames" w:hAnsi="XO Thames"/>
      <w:color w:val="000000"/>
      <w:spacing w:val="0"/>
      <w:sz w:val="28"/>
    </w:rPr>
  </w:style>
  <w:style w:type="character" w:styleId="ConsPlusNormal11">
    <w:name w:val="ConsPlusNormal11"/>
    <w:link w:val="ConsPlusNormal111"/>
    <w:qFormat/>
    <w:rPr>
      <w:rFonts w:ascii="Arial" w:hAnsi="Arial"/>
      <w:color w:val="000000"/>
      <w:spacing w:val="0"/>
      <w:sz w:val="20"/>
    </w:rPr>
  </w:style>
  <w:style w:type="character" w:styleId="Heading31">
    <w:name w:val="Heading 31"/>
    <w:link w:val="Heading311"/>
    <w:qFormat/>
    <w:rPr>
      <w:rFonts w:ascii="XO Thames" w:hAnsi="XO Thames"/>
      <w:b/>
      <w:color w:val="000000"/>
      <w:spacing w:val="0"/>
      <w:sz w:val="26"/>
    </w:rPr>
  </w:style>
  <w:style w:type="character" w:styleId="List1">
    <w:name w:val="List1"/>
    <w:basedOn w:val="Textbody"/>
    <w:qFormat/>
    <w:rPr/>
  </w:style>
  <w:style w:type="character" w:styleId="111111111111111121">
    <w:name w:val="Заголовок11111111111111112"/>
    <w:link w:val="1111111111111111212"/>
    <w:qFormat/>
    <w:rPr>
      <w:rFonts w:ascii="Liberation Sans" w:hAnsi="Liberation Sans"/>
      <w:sz w:val="28"/>
    </w:rPr>
  </w:style>
  <w:style w:type="character" w:styleId="11">
    <w:name w:val="Символ концевой сноски11"/>
    <w:link w:val="11110"/>
    <w:qFormat/>
    <w:rPr>
      <w:rFonts w:ascii="Calibri" w:hAnsi="Calibri" w:asciiTheme="minorAscii" w:hAnsiTheme="minorHAnsi"/>
      <w:color w:val="000000"/>
      <w:spacing w:val="0"/>
      <w:sz w:val="22"/>
      <w:vertAlign w:val="superscript"/>
    </w:rPr>
  </w:style>
  <w:style w:type="character" w:styleId="211">
    <w:name w:val="Заголовок 2 Знак11"/>
    <w:basedOn w:val="DefaultParagraphFont11"/>
    <w:link w:val="2111"/>
    <w:qFormat/>
    <w:rPr>
      <w:rFonts w:ascii="Times New Roman" w:hAnsi="Times New Roman"/>
      <w:b/>
      <w:sz w:val="36"/>
    </w:rPr>
  </w:style>
  <w:style w:type="character" w:styleId="Endnote">
    <w:name w:val="Endnote"/>
    <w:link w:val="Endnote1"/>
    <w:qFormat/>
    <w:rPr>
      <w:rFonts w:ascii="XO Thames" w:hAnsi="XO Thames"/>
      <w:sz w:val="22"/>
    </w:rPr>
  </w:style>
  <w:style w:type="character" w:styleId="Contents1">
    <w:name w:val="Contents 1"/>
    <w:link w:val="Contents13"/>
    <w:qFormat/>
    <w:rPr>
      <w:rFonts w:ascii="XO Thames" w:hAnsi="XO Thames"/>
      <w:b/>
      <w:color w:val="000000"/>
      <w:spacing w:val="0"/>
      <w:sz w:val="28"/>
    </w:rPr>
  </w:style>
  <w:style w:type="character" w:styleId="Heading32">
    <w:name w:val="Heading 32"/>
    <w:qFormat/>
    <w:rPr>
      <w:rFonts w:ascii="XO Thames" w:hAnsi="XO Thames"/>
      <w:b/>
      <w:color w:val="000000"/>
      <w:spacing w:val="0"/>
      <w:sz w:val="26"/>
    </w:rPr>
  </w:style>
  <w:style w:type="character" w:styleId="11111111111112">
    <w:name w:val="Указатель11111111111112"/>
    <w:link w:val="1111111111111211"/>
    <w:qFormat/>
    <w:rPr/>
  </w:style>
  <w:style w:type="character" w:styleId="Style9">
    <w:name w:val="Указатель"/>
    <w:link w:val="1111111111111111112111111111111111111111111111111111111111111111111111111111111111112"/>
    <w:qFormat/>
    <w:rPr/>
  </w:style>
  <w:style w:type="character" w:styleId="151">
    <w:name w:val="Колонтитул151"/>
    <w:link w:val="1511"/>
    <w:qFormat/>
    <w:rPr/>
  </w:style>
  <w:style w:type="character" w:styleId="1111111111111121">
    <w:name w:val="Заголовок111111111111112"/>
    <w:link w:val="11111111111111212"/>
    <w:qFormat/>
    <w:rPr>
      <w:rFonts w:ascii="Liberation Sans" w:hAnsi="Liberation Sans"/>
      <w:sz w:val="28"/>
    </w:rPr>
  </w:style>
  <w:style w:type="character" w:styleId="1111111111112">
    <w:name w:val="Заголовок1111111111112"/>
    <w:link w:val="111111111111211"/>
    <w:qFormat/>
    <w:rPr>
      <w:rFonts w:ascii="Liberation Sans" w:hAnsi="Liberation Sans"/>
      <w:sz w:val="28"/>
    </w:rPr>
  </w:style>
  <w:style w:type="character" w:styleId="FontStyle1311">
    <w:name w:val="Font Style1311"/>
    <w:basedOn w:val="DefaultParagraphFont11"/>
    <w:link w:val="FontStyle13111"/>
    <w:qFormat/>
    <w:rPr>
      <w:rFonts w:ascii="Times New Roman" w:hAnsi="Times New Roman"/>
    </w:rPr>
  </w:style>
  <w:style w:type="character" w:styleId="Style10">
    <w:name w:val="Символ концевой сноски"/>
    <w:link w:val="120"/>
    <w:qFormat/>
    <w:rPr>
      <w:vertAlign w:val="superscript"/>
    </w:rPr>
  </w:style>
  <w:style w:type="character" w:styleId="EndnoteReference">
    <w:name w:val="Endnote Reference"/>
    <w:rPr>
      <w:vertAlign w:val="superscript"/>
    </w:rPr>
  </w:style>
  <w:style w:type="character" w:styleId="Contents8">
    <w:name w:val="Contents 8"/>
    <w:link w:val="Contents83"/>
    <w:qFormat/>
    <w:rPr>
      <w:rFonts w:ascii="XO Thames" w:hAnsi="XO Thames"/>
      <w:color w:val="000000"/>
      <w:spacing w:val="0"/>
      <w:sz w:val="28"/>
    </w:rPr>
  </w:style>
  <w:style w:type="character" w:styleId="1112">
    <w:name w:val="Заголовок1112"/>
    <w:link w:val="111211"/>
    <w:qFormat/>
    <w:rPr>
      <w:rFonts w:ascii="Liberation Sans" w:hAnsi="Liberation Sans"/>
      <w:sz w:val="28"/>
    </w:rPr>
  </w:style>
  <w:style w:type="character" w:styleId="111">
    <w:name w:val="Текст сноски Знак11"/>
    <w:basedOn w:val="DefaultParagraphFont11"/>
    <w:link w:val="11115"/>
    <w:qFormat/>
    <w:rPr>
      <w:rFonts w:ascii="Times New Roman" w:hAnsi="Times New Roman"/>
      <w:sz w:val="20"/>
    </w:rPr>
  </w:style>
  <w:style w:type="character" w:styleId="TextBoldCenter11">
    <w:name w:val="TextBoldCenter11"/>
    <w:link w:val="TextBoldCenter111"/>
    <w:qFormat/>
    <w:rPr>
      <w:b/>
      <w:sz w:val="26"/>
    </w:rPr>
  </w:style>
  <w:style w:type="character" w:styleId="Style11">
    <w:name w:val="Колонтитул"/>
    <w:link w:val="14"/>
    <w:qFormat/>
    <w:rPr>
      <w:rFonts w:ascii="XO Thames" w:hAnsi="XO Thames"/>
      <w:color w:val="000000"/>
      <w:spacing w:val="0"/>
      <w:sz w:val="28"/>
    </w:rPr>
  </w:style>
  <w:style w:type="character" w:styleId="11111111111121">
    <w:name w:val="Указатель1111111111112"/>
    <w:link w:val="111111111111212"/>
    <w:qFormat/>
    <w:rPr/>
  </w:style>
  <w:style w:type="character" w:styleId="List2">
    <w:name w:val="List2"/>
    <w:basedOn w:val="Textbody1"/>
    <w:link w:val="List21"/>
    <w:qFormat/>
    <w:rPr/>
  </w:style>
  <w:style w:type="character" w:styleId="113">
    <w:name w:val="Основной текст Знак11"/>
    <w:basedOn w:val="DefaultParagraphFont11"/>
    <w:link w:val="11116"/>
    <w:qFormat/>
    <w:rPr>
      <w:rFonts w:ascii="Times New Roman" w:hAnsi="Times New Roman"/>
      <w:sz w:val="24"/>
    </w:rPr>
  </w:style>
  <w:style w:type="character" w:styleId="31">
    <w:name w:val="Колонтитул31"/>
    <w:link w:val="3111"/>
    <w:qFormat/>
    <w:rPr/>
  </w:style>
  <w:style w:type="character" w:styleId="1111">
    <w:name w:val="Колонтитул111"/>
    <w:link w:val="11117"/>
    <w:qFormat/>
    <w:rPr/>
  </w:style>
  <w:style w:type="character" w:styleId="111111111111111112">
    <w:name w:val="Указатель111111111111111112"/>
    <w:link w:val="11111111111111111211"/>
    <w:qFormat/>
    <w:rPr/>
  </w:style>
  <w:style w:type="character" w:styleId="11111111112">
    <w:name w:val="Заголовок11111111112"/>
    <w:link w:val="1111111111211"/>
    <w:qFormat/>
    <w:rPr>
      <w:rFonts w:ascii="Liberation Sans" w:hAnsi="Liberation Sans"/>
      <w:sz w:val="28"/>
    </w:rPr>
  </w:style>
  <w:style w:type="character" w:styleId="Style12">
    <w:name w:val="Символ сноски"/>
    <w:link w:val="110"/>
    <w:qFormat/>
    <w:rPr>
      <w:vertAlign w:val="superscript"/>
    </w:rPr>
  </w:style>
  <w:style w:type="character" w:styleId="FootnoteReference">
    <w:name w:val="Footnote Reference"/>
    <w:rPr>
      <w:vertAlign w:val="superscript"/>
    </w:rPr>
  </w:style>
  <w:style w:type="character" w:styleId="Contents71">
    <w:name w:val="Contents 71"/>
    <w:link w:val="Contents73"/>
    <w:qFormat/>
    <w:rPr>
      <w:rFonts w:ascii="XO Thames" w:hAnsi="XO Thames"/>
      <w:color w:val="000000"/>
      <w:spacing w:val="0"/>
      <w:sz w:val="28"/>
    </w:rPr>
  </w:style>
  <w:style w:type="character" w:styleId="Subtitle2">
    <w:name w:val="Subtitle2"/>
    <w:link w:val="Subtitle21"/>
    <w:qFormat/>
    <w:rPr>
      <w:rFonts w:ascii="XO Thames" w:hAnsi="XO Thames"/>
      <w:i/>
      <w:color w:val="000000"/>
      <w:spacing w:val="0"/>
      <w:sz w:val="24"/>
    </w:rPr>
  </w:style>
  <w:style w:type="character" w:styleId="Contents91">
    <w:name w:val="Contents 91"/>
    <w:link w:val="Contents911"/>
    <w:qFormat/>
    <w:rPr>
      <w:rFonts w:ascii="XO Thames" w:hAnsi="XO Thames"/>
      <w:color w:val="000000"/>
      <w:spacing w:val="0"/>
      <w:sz w:val="28"/>
    </w:rPr>
  </w:style>
  <w:style w:type="character" w:styleId="1111111111121">
    <w:name w:val="Указатель111111111112"/>
    <w:link w:val="11111111111212"/>
    <w:qFormat/>
    <w:rPr/>
  </w:style>
  <w:style w:type="character" w:styleId="Heading22">
    <w:name w:val="Heading 22"/>
    <w:link w:val="Heading221"/>
    <w:qFormat/>
    <w:rPr>
      <w:b/>
      <w:sz w:val="36"/>
    </w:rPr>
  </w:style>
  <w:style w:type="character" w:styleId="TextBasTxt11">
    <w:name w:val="TextBasTxt11"/>
    <w:link w:val="TextBasTxt111"/>
    <w:qFormat/>
    <w:rPr/>
  </w:style>
  <w:style w:type="character" w:styleId="41">
    <w:name w:val="Колонтитул41"/>
    <w:link w:val="4111"/>
    <w:qFormat/>
    <w:rPr/>
  </w:style>
  <w:style w:type="character" w:styleId="Annotationreference11">
    <w:name w:val="annotation reference11"/>
    <w:basedOn w:val="DefaultParagraphFont11"/>
    <w:link w:val="Annotationreference111"/>
    <w:qFormat/>
    <w:rPr>
      <w:sz w:val="16"/>
    </w:rPr>
  </w:style>
  <w:style w:type="character" w:styleId="Annotationsubject11">
    <w:name w:val="annotation subject11"/>
    <w:basedOn w:val="Annotationtext11"/>
    <w:link w:val="Annotationsubject111"/>
    <w:qFormat/>
    <w:rPr>
      <w:b/>
    </w:rPr>
  </w:style>
  <w:style w:type="character" w:styleId="BodyTextIndent211">
    <w:name w:val="Body Text Indent 211"/>
    <w:link w:val="BodyTextIndent2111"/>
    <w:qFormat/>
    <w:rPr/>
  </w:style>
  <w:style w:type="character" w:styleId="BalloonText11">
    <w:name w:val="Balloon Text11"/>
    <w:link w:val="BalloonText111"/>
    <w:qFormat/>
    <w:rPr>
      <w:rFonts w:ascii="Tahoma" w:hAnsi="Tahoma"/>
      <w:sz w:val="16"/>
    </w:rPr>
  </w:style>
  <w:style w:type="character" w:styleId="141">
    <w:name w:val="Колонтитул141"/>
    <w:link w:val="1411"/>
    <w:qFormat/>
    <w:rPr/>
  </w:style>
  <w:style w:type="character" w:styleId="Caption1">
    <w:name w:val="Caption1"/>
    <w:qFormat/>
    <w:rPr>
      <w:i/>
      <w:sz w:val="24"/>
    </w:rPr>
  </w:style>
  <w:style w:type="character" w:styleId="FontStyle1111">
    <w:name w:val="Font Style1111"/>
    <w:basedOn w:val="DefaultParagraphFont11"/>
    <w:link w:val="FontStyle11111"/>
    <w:qFormat/>
    <w:rPr>
      <w:rFonts w:ascii="Times New Roman" w:hAnsi="Times New Roman"/>
      <w:b/>
      <w:sz w:val="20"/>
    </w:rPr>
  </w:style>
  <w:style w:type="character" w:styleId="Contents3">
    <w:name w:val="Contents 3"/>
    <w:qFormat/>
    <w:rPr>
      <w:rFonts w:ascii="XO Thames" w:hAnsi="XO Thames"/>
      <w:color w:val="000000"/>
      <w:spacing w:val="0"/>
      <w:sz w:val="28"/>
    </w:rPr>
  </w:style>
  <w:style w:type="character" w:styleId="Contents51">
    <w:name w:val="Contents 51"/>
    <w:link w:val="Contents511"/>
    <w:qFormat/>
    <w:rPr>
      <w:rFonts w:ascii="XO Thames" w:hAnsi="XO Thames"/>
      <w:color w:val="000000"/>
      <w:spacing w:val="0"/>
      <w:sz w:val="28"/>
    </w:rPr>
  </w:style>
  <w:style w:type="character" w:styleId="Footnote2">
    <w:name w:val="Footnote2"/>
    <w:link w:val="Footnote21"/>
    <w:qFormat/>
    <w:rPr/>
  </w:style>
  <w:style w:type="character" w:styleId="111111111111121">
    <w:name w:val="Заголовок11111111111112"/>
    <w:link w:val="1111111111111212"/>
    <w:qFormat/>
    <w:rPr>
      <w:rFonts w:ascii="Liberation Sans" w:hAnsi="Liberation Sans"/>
      <w:sz w:val="28"/>
    </w:rPr>
  </w:style>
  <w:style w:type="character" w:styleId="Heading211">
    <w:name w:val="Heading 211"/>
    <w:link w:val="Heading2111"/>
    <w:qFormat/>
    <w:rPr>
      <w:rFonts w:ascii="Calibri" w:hAnsi="Calibri" w:asciiTheme="minorAscii" w:hAnsiTheme="minorHAnsi"/>
      <w:b/>
      <w:color w:val="000000"/>
      <w:spacing w:val="0"/>
      <w:sz w:val="36"/>
    </w:rPr>
  </w:style>
  <w:style w:type="character" w:styleId="Endnote2">
    <w:name w:val="Endnote2"/>
    <w:link w:val="Endnote21"/>
    <w:qFormat/>
    <w:rPr>
      <w:rFonts w:ascii="XO Thames" w:hAnsi="XO Thames"/>
      <w:color w:val="000000"/>
      <w:spacing w:val="0"/>
      <w:sz w:val="22"/>
    </w:rPr>
  </w:style>
  <w:style w:type="character" w:styleId="81">
    <w:name w:val="Содержимое врезки81"/>
    <w:link w:val="8111"/>
    <w:qFormat/>
    <w:rPr/>
  </w:style>
  <w:style w:type="character" w:styleId="51">
    <w:name w:val="Колонтитул51"/>
    <w:link w:val="5111"/>
    <w:qFormat/>
    <w:rPr/>
  </w:style>
  <w:style w:type="character" w:styleId="11111112">
    <w:name w:val="Указатель11111112"/>
    <w:link w:val="1111111211"/>
    <w:qFormat/>
    <w:rPr/>
  </w:style>
  <w:style w:type="character" w:styleId="21">
    <w:name w:val="Содержимое врезки21"/>
    <w:link w:val="2112"/>
    <w:qFormat/>
    <w:rPr/>
  </w:style>
  <w:style w:type="character" w:styleId="1111111111111112">
    <w:name w:val="Заголовок1111111111111112"/>
    <w:link w:val="111111111111111211"/>
    <w:qFormat/>
    <w:rPr>
      <w:rFonts w:ascii="Liberation Sans" w:hAnsi="Liberation Sans"/>
      <w:sz w:val="28"/>
    </w:rPr>
  </w:style>
  <w:style w:type="character" w:styleId="Textbody2">
    <w:name w:val="Text body2"/>
    <w:link w:val="Textbody21"/>
    <w:qFormat/>
    <w:rPr>
      <w:rFonts w:ascii="Calibri" w:hAnsi="Calibri" w:asciiTheme="minorAscii" w:hAnsiTheme="minorHAnsi"/>
      <w:color w:val="000000"/>
      <w:spacing w:val="0"/>
      <w:sz w:val="22"/>
    </w:rPr>
  </w:style>
  <w:style w:type="character" w:styleId="11111121">
    <w:name w:val="Заголовок1111112"/>
    <w:link w:val="111111212"/>
    <w:qFormat/>
    <w:rPr>
      <w:rFonts w:ascii="Liberation Sans" w:hAnsi="Liberation Sans"/>
      <w:sz w:val="28"/>
    </w:rPr>
  </w:style>
  <w:style w:type="character" w:styleId="1113">
    <w:name w:val="Заголовок 1 Знак11"/>
    <w:basedOn w:val="DefaultParagraphFont11"/>
    <w:link w:val="11118"/>
    <w:qFormat/>
    <w:rPr>
      <w:rFonts w:ascii="Arial" w:hAnsi="Arial"/>
      <w:b/>
      <w:sz w:val="32"/>
    </w:rPr>
  </w:style>
  <w:style w:type="character" w:styleId="Strong">
    <w:name w:val="Strong"/>
    <w:qFormat/>
    <w:rPr>
      <w:b/>
    </w:rPr>
  </w:style>
  <w:style w:type="character" w:styleId="411">
    <w:name w:val="Содержимое врезки41"/>
    <w:link w:val="4112"/>
    <w:qFormat/>
    <w:rPr/>
  </w:style>
  <w:style w:type="character" w:styleId="1111111111111111121">
    <w:name w:val="Заголовок111111111111111112"/>
    <w:link w:val="11111111111111111212"/>
    <w:qFormat/>
    <w:rPr>
      <w:rFonts w:ascii="Liberation Sans" w:hAnsi="Liberation Sans"/>
      <w:sz w:val="28"/>
    </w:rPr>
  </w:style>
  <w:style w:type="character" w:styleId="1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1"/>
    <w:link w:val="1111114"/>
    <w:qFormat/>
    <w:rPr>
      <w:rFonts w:ascii="Verdana" w:hAnsi="Verdana"/>
      <w:sz w:val="20"/>
    </w:rPr>
  </w:style>
  <w:style w:type="character" w:styleId="Pagenumber11">
    <w:name w:val="page number11"/>
    <w:basedOn w:val="DefaultParagraphFont11"/>
    <w:link w:val="Pagenumber111"/>
    <w:qFormat/>
    <w:rPr/>
  </w:style>
  <w:style w:type="character" w:styleId="Endnote11">
    <w:name w:val="Endnote11"/>
    <w:link w:val="Endnote111"/>
    <w:qFormat/>
    <w:rPr>
      <w:rFonts w:ascii="XO Thames" w:hAnsi="XO Thames"/>
      <w:color w:val="000000"/>
      <w:spacing w:val="0"/>
      <w:sz w:val="22"/>
    </w:rPr>
  </w:style>
  <w:style w:type="character" w:styleId="Header1">
    <w:name w:val="Header1"/>
    <w:qFormat/>
    <w:rPr>
      <w:sz w:val="20"/>
    </w:rPr>
  </w:style>
  <w:style w:type="character" w:styleId="111112">
    <w:name w:val="Заголовок111112"/>
    <w:link w:val="11111211"/>
    <w:qFormat/>
    <w:rPr>
      <w:rFonts w:ascii="Liberation Sans" w:hAnsi="Liberation Sans"/>
      <w:sz w:val="28"/>
    </w:rPr>
  </w:style>
  <w:style w:type="character" w:styleId="Heading51">
    <w:name w:val="Heading 51"/>
    <w:qFormat/>
    <w:rPr>
      <w:rFonts w:ascii="XO Thames" w:hAnsi="XO Thames"/>
      <w:b/>
      <w:color w:val="000000"/>
      <w:spacing w:val="0"/>
      <w:sz w:val="22"/>
    </w:rPr>
  </w:style>
  <w:style w:type="character" w:styleId="Textbody1">
    <w:name w:val="Text body1"/>
    <w:link w:val="Textbody11"/>
    <w:qFormat/>
    <w:rPr/>
  </w:style>
  <w:style w:type="character" w:styleId="Heading511">
    <w:name w:val="Heading 511"/>
    <w:link w:val="Heading5111"/>
    <w:qFormat/>
    <w:rPr>
      <w:rFonts w:ascii="XO Thames" w:hAnsi="XO Thames"/>
      <w:b/>
      <w:color w:val="000000"/>
      <w:spacing w:val="0"/>
      <w:sz w:val="22"/>
    </w:rPr>
  </w:style>
  <w:style w:type="character" w:styleId="BodyTextIndent311">
    <w:name w:val="Body Text Indent 311"/>
    <w:link w:val="BodyTextIndent3111"/>
    <w:qFormat/>
    <w:rPr>
      <w:b/>
      <w:sz w:val="28"/>
    </w:rPr>
  </w:style>
  <w:style w:type="character" w:styleId="61">
    <w:name w:val="Колонтитул61"/>
    <w:link w:val="6111"/>
    <w:qFormat/>
    <w:rPr/>
  </w:style>
  <w:style w:type="character" w:styleId="Heading11">
    <w:name w:val="Heading 11"/>
    <w:qFormat/>
    <w:rPr>
      <w:rFonts w:ascii="Arial" w:hAnsi="Arial"/>
      <w:b/>
      <w:sz w:val="32"/>
    </w:rPr>
  </w:style>
  <w:style w:type="character" w:styleId="StrongEmphasis1">
    <w:name w:val="Strong Emphasis1"/>
    <w:link w:val="StrongEmphasis11"/>
    <w:qFormat/>
    <w:rPr>
      <w:rFonts w:ascii="Calibri" w:hAnsi="Calibri" w:asciiTheme="minorAscii" w:hAnsiTheme="minorHAnsi"/>
      <w:b/>
      <w:color w:val="000000"/>
      <w:spacing w:val="0"/>
      <w:sz w:val="22"/>
    </w:rPr>
  </w:style>
  <w:style w:type="character" w:styleId="91">
    <w:name w:val="Содержимое врезки91"/>
    <w:link w:val="9111"/>
    <w:qFormat/>
    <w:rPr/>
  </w:style>
  <w:style w:type="character" w:styleId="Footnote11">
    <w:name w:val="Footnote11"/>
    <w:link w:val="Footnote111"/>
    <w:qFormat/>
    <w:rPr>
      <w:sz w:val="20"/>
    </w:rPr>
  </w:style>
  <w:style w:type="character" w:styleId="71">
    <w:name w:val="Колонтитул71"/>
    <w:link w:val="7111"/>
    <w:qFormat/>
    <w:rPr/>
  </w:style>
  <w:style w:type="character" w:styleId="Subtitle11">
    <w:name w:val="Subtitle11"/>
    <w:link w:val="Subtitle111"/>
    <w:qFormat/>
    <w:rPr>
      <w:rFonts w:ascii="XO Thames" w:hAnsi="XO Thames"/>
      <w:i/>
      <w:color w:val="000000"/>
      <w:spacing w:val="0"/>
      <w:sz w:val="24"/>
    </w:rPr>
  </w:style>
  <w:style w:type="character" w:styleId="DefaultParagraphFont11">
    <w:name w:val="Default Paragraph Font11"/>
    <w:link w:val="DefaultParagraphFont111"/>
    <w:qFormat/>
    <w:rPr>
      <w:rFonts w:ascii="Calibri" w:hAnsi="Calibri" w:asciiTheme="minorAscii" w:hAnsiTheme="minorHAnsi"/>
      <w:color w:val="000000"/>
      <w:spacing w:val="0"/>
      <w:sz w:val="22"/>
    </w:rPr>
  </w:style>
  <w:style w:type="character" w:styleId="1121">
    <w:name w:val="Заголовок112"/>
    <w:link w:val="11212"/>
    <w:qFormat/>
    <w:rPr>
      <w:rFonts w:ascii="Liberation Sans" w:hAnsi="Liberation Sans"/>
      <w:sz w:val="28"/>
    </w:rPr>
  </w:style>
  <w:style w:type="character" w:styleId="Footer2">
    <w:name w:val="Footer2"/>
    <w:link w:val="Footer21"/>
    <w:qFormat/>
    <w:rPr>
      <w:rFonts w:ascii="Calibri" w:hAnsi="Calibri" w:asciiTheme="minorAscii" w:hAnsiTheme="minorHAnsi"/>
      <w:sz w:val="22"/>
    </w:rPr>
  </w:style>
  <w:style w:type="character" w:styleId="Header11">
    <w:name w:val="Header11"/>
    <w:link w:val="Header13"/>
    <w:qFormat/>
    <w:rPr>
      <w:sz w:val="20"/>
    </w:rPr>
  </w:style>
  <w:style w:type="character" w:styleId="Contents12">
    <w:name w:val="Contents 12"/>
    <w:link w:val="Contents121"/>
    <w:qFormat/>
    <w:rPr>
      <w:rFonts w:ascii="XO Thames" w:hAnsi="XO Thames"/>
      <w:b/>
      <w:color w:val="000000"/>
      <w:spacing w:val="0"/>
      <w:sz w:val="28"/>
    </w:rPr>
  </w:style>
  <w:style w:type="character" w:styleId="11111111111111111111">
    <w:name w:val="Указатель1111111111111111111"/>
    <w:link w:val="111111111111111111112"/>
    <w:qFormat/>
    <w:rPr/>
  </w:style>
  <w:style w:type="character" w:styleId="Hyperlink">
    <w:name w:val="Hyperlink"/>
    <w:rPr>
      <w:color w:val="0000FF"/>
      <w:u w:val="single"/>
    </w:rPr>
  </w:style>
  <w:style w:type="character" w:styleId="Footnote">
    <w:name w:val="Footnote"/>
    <w:link w:val="Footnote1"/>
    <w:qFormat/>
    <w:rPr/>
  </w:style>
  <w:style w:type="character" w:styleId="911">
    <w:name w:val="Колонтитул91"/>
    <w:link w:val="9112"/>
    <w:qFormat/>
    <w:rPr/>
  </w:style>
  <w:style w:type="character" w:styleId="181">
    <w:name w:val="Колонтитул181"/>
    <w:link w:val="1811"/>
    <w:qFormat/>
    <w:rPr/>
  </w:style>
  <w:style w:type="character" w:styleId="Footer11">
    <w:name w:val="Footer11"/>
    <w:link w:val="Footer111"/>
    <w:qFormat/>
    <w:rPr>
      <w:rFonts w:ascii="Calibri" w:hAnsi="Calibri" w:asciiTheme="minorAscii" w:hAnsiTheme="minorHAnsi"/>
      <w:color w:val="000000"/>
      <w:spacing w:val="0"/>
      <w:sz w:val="22"/>
    </w:rPr>
  </w:style>
  <w:style w:type="character" w:styleId="Contents11">
    <w:name w:val="Contents 11"/>
    <w:qFormat/>
    <w:rPr>
      <w:rFonts w:ascii="XO Thames" w:hAnsi="XO Thames"/>
      <w:b/>
      <w:color w:val="000000"/>
      <w:spacing w:val="0"/>
      <w:sz w:val="28"/>
    </w:rPr>
  </w:style>
  <w:style w:type="character" w:styleId="1111111112">
    <w:name w:val="Заголовок1111111112"/>
    <w:link w:val="111111111211"/>
    <w:qFormat/>
    <w:rPr>
      <w:rFonts w:ascii="Liberation Sans" w:hAnsi="Liberation Sans"/>
      <w:sz w:val="28"/>
    </w:rPr>
  </w:style>
  <w:style w:type="character" w:styleId="Textbodyindent">
    <w:name w:val="Text body indent"/>
    <w:qFormat/>
    <w:rPr>
      <w:sz w:val="20"/>
    </w:rPr>
  </w:style>
  <w:style w:type="character" w:styleId="11112">
    <w:name w:val="Заголовок11112"/>
    <w:link w:val="1111211"/>
    <w:qFormat/>
    <w:rPr>
      <w:rFonts w:ascii="Liberation Sans" w:hAnsi="Liberation Sans"/>
      <w:sz w:val="28"/>
    </w:rPr>
  </w:style>
  <w:style w:type="character" w:styleId="HeaderandFooter">
    <w:name w:val="Header and Footer"/>
    <w:qFormat/>
    <w:rPr>
      <w:rFonts w:ascii="XO Thames" w:hAnsi="XO Thames"/>
      <w:sz w:val="28"/>
    </w:rPr>
  </w:style>
  <w:style w:type="character" w:styleId="111111112">
    <w:name w:val="Указатель111111112"/>
    <w:link w:val="11111111211"/>
    <w:qFormat/>
    <w:rPr/>
  </w:style>
  <w:style w:type="character" w:styleId="121">
    <w:name w:val="Заголовок12"/>
    <w:link w:val="1213"/>
    <w:qFormat/>
    <w:rPr>
      <w:rFonts w:ascii="Liberation Sans" w:hAnsi="Liberation Sans"/>
      <w:sz w:val="28"/>
    </w:rPr>
  </w:style>
  <w:style w:type="character" w:styleId="611">
    <w:name w:val="Содержимое врезки61"/>
    <w:link w:val="6112"/>
    <w:qFormat/>
    <w:rPr/>
  </w:style>
  <w:style w:type="character" w:styleId="Contents82">
    <w:name w:val="Contents 82"/>
    <w:link w:val="Contents821"/>
    <w:qFormat/>
    <w:rPr>
      <w:rFonts w:ascii="XO Thames" w:hAnsi="XO Thames"/>
      <w:color w:val="000000"/>
      <w:spacing w:val="0"/>
      <w:sz w:val="28"/>
    </w:rPr>
  </w:style>
  <w:style w:type="character" w:styleId="1111121">
    <w:name w:val="Указатель111112"/>
    <w:link w:val="11111212"/>
    <w:qFormat/>
    <w:rPr/>
  </w:style>
  <w:style w:type="character" w:styleId="131">
    <w:name w:val="Колонтитул131"/>
    <w:link w:val="1311"/>
    <w:qFormat/>
    <w:rPr/>
  </w:style>
  <w:style w:type="character" w:styleId="Caption11">
    <w:name w:val="Caption11"/>
    <w:link w:val="Caption111"/>
    <w:qFormat/>
    <w:rPr>
      <w:rFonts w:ascii="Calibri" w:hAnsi="Calibri" w:asciiTheme="minorAscii" w:hAnsiTheme="minorHAnsi"/>
      <w:i/>
      <w:color w:val="000000"/>
      <w:spacing w:val="0"/>
      <w:sz w:val="24"/>
    </w:rPr>
  </w:style>
  <w:style w:type="character" w:styleId="Contents9">
    <w:name w:val="Contents 9"/>
    <w:qFormat/>
    <w:rPr>
      <w:rFonts w:ascii="XO Thames" w:hAnsi="XO Thames"/>
      <w:color w:val="000000"/>
      <w:spacing w:val="0"/>
      <w:sz w:val="28"/>
    </w:rPr>
  </w:style>
  <w:style w:type="character" w:styleId="101">
    <w:name w:val="Содержимое врезки101"/>
    <w:link w:val="10111"/>
    <w:qFormat/>
    <w:rPr/>
  </w:style>
  <w:style w:type="character" w:styleId="511">
    <w:name w:val="Содержимое врезки51"/>
    <w:link w:val="5112"/>
    <w:qFormat/>
    <w:rPr/>
  </w:style>
  <w:style w:type="character" w:styleId="114">
    <w:name w:val="Содержимое врезки11"/>
    <w:link w:val="11119"/>
    <w:qFormat/>
    <w:rPr/>
  </w:style>
  <w:style w:type="character" w:styleId="Contents21">
    <w:name w:val="Contents 21"/>
    <w:link w:val="Contents23"/>
    <w:qFormat/>
    <w:rPr>
      <w:rFonts w:ascii="XO Thames" w:hAnsi="XO Thames"/>
      <w:color w:val="000000"/>
      <w:spacing w:val="0"/>
      <w:sz w:val="28"/>
    </w:rPr>
  </w:style>
  <w:style w:type="character" w:styleId="115">
    <w:name w:val="Верхний колонтитул Знак11"/>
    <w:basedOn w:val="DefaultParagraphFont11"/>
    <w:link w:val="11120"/>
    <w:qFormat/>
    <w:rPr>
      <w:rFonts w:ascii="Times New Roman" w:hAnsi="Times New Roman"/>
      <w:sz w:val="20"/>
    </w:rPr>
  </w:style>
  <w:style w:type="character" w:styleId="1211">
    <w:name w:val="Колонтитул121"/>
    <w:link w:val="12111"/>
    <w:qFormat/>
    <w:rPr/>
  </w:style>
  <w:style w:type="character" w:styleId="BodyText311">
    <w:name w:val="Body Text 311"/>
    <w:link w:val="BodyText3111"/>
    <w:qFormat/>
    <w:rPr>
      <w:sz w:val="28"/>
    </w:rPr>
  </w:style>
  <w:style w:type="character" w:styleId="Heading52">
    <w:name w:val="Heading 52"/>
    <w:link w:val="Heading521"/>
    <w:qFormat/>
    <w:rPr>
      <w:rFonts w:ascii="XO Thames" w:hAnsi="XO Thames"/>
      <w:b/>
      <w:color w:val="000000"/>
      <w:spacing w:val="0"/>
      <w:sz w:val="22"/>
    </w:rPr>
  </w:style>
  <w:style w:type="character" w:styleId="116">
    <w:name w:val="Знак Знак Знак Знак11"/>
    <w:link w:val="11122"/>
    <w:qFormat/>
    <w:rPr/>
  </w:style>
  <w:style w:type="character" w:styleId="811">
    <w:name w:val="Колонтитул81"/>
    <w:link w:val="8112"/>
    <w:qFormat/>
    <w:rPr/>
  </w:style>
  <w:style w:type="character" w:styleId="117">
    <w:name w:val="Основной текст с отступом Знак11"/>
    <w:basedOn w:val="DefaultParagraphFont11"/>
    <w:link w:val="11123"/>
    <w:qFormat/>
    <w:rPr>
      <w:rFonts w:ascii="Times New Roman" w:hAnsi="Times New Roman"/>
      <w:sz w:val="20"/>
    </w:rPr>
  </w:style>
  <w:style w:type="character" w:styleId="FootnoteSymbol2">
    <w:name w:val="Footnote Symbol2"/>
    <w:link w:val="FootnoteSymbol21"/>
    <w:qFormat/>
    <w:rPr>
      <w:rFonts w:ascii="Calibri" w:hAnsi="Calibri" w:asciiTheme="minorAscii" w:hAnsiTheme="minorHAnsi"/>
      <w:color w:val="000000"/>
      <w:spacing w:val="0"/>
      <w:sz w:val="22"/>
      <w:vertAlign w:val="superscript"/>
    </w:rPr>
  </w:style>
  <w:style w:type="character" w:styleId="Contents81">
    <w:name w:val="Contents 81"/>
    <w:qFormat/>
    <w:rPr>
      <w:rFonts w:ascii="XO Thames" w:hAnsi="XO Thames"/>
      <w:color w:val="000000"/>
      <w:spacing w:val="0"/>
      <w:sz w:val="28"/>
    </w:rPr>
  </w:style>
  <w:style w:type="character" w:styleId="Contents41">
    <w:name w:val="Contents 41"/>
    <w:link w:val="Contents43"/>
    <w:qFormat/>
    <w:rPr>
      <w:rFonts w:ascii="XO Thames" w:hAnsi="XO Thames"/>
      <w:color w:val="000000"/>
      <w:spacing w:val="0"/>
      <w:sz w:val="28"/>
    </w:rPr>
  </w:style>
  <w:style w:type="character" w:styleId="Contents62">
    <w:name w:val="Contents 62"/>
    <w:link w:val="Contents621"/>
    <w:qFormat/>
    <w:rPr>
      <w:rFonts w:ascii="XO Thames" w:hAnsi="XO Thames"/>
      <w:color w:val="000000"/>
      <w:spacing w:val="0"/>
      <w:sz w:val="28"/>
    </w:rPr>
  </w:style>
  <w:style w:type="character" w:styleId="11111111121">
    <w:name w:val="Указатель1111111112"/>
    <w:link w:val="111111111212"/>
    <w:qFormat/>
    <w:rPr/>
  </w:style>
  <w:style w:type="character" w:styleId="111111121">
    <w:name w:val="Заголовок11111112"/>
    <w:link w:val="1111111212"/>
    <w:qFormat/>
    <w:rPr>
      <w:rFonts w:ascii="Liberation Sans" w:hAnsi="Liberation Sans"/>
      <w:sz w:val="28"/>
    </w:rPr>
  </w:style>
  <w:style w:type="character" w:styleId="Heading411">
    <w:name w:val="Heading 411"/>
    <w:link w:val="Heading4111"/>
    <w:qFormat/>
    <w:rPr>
      <w:rFonts w:ascii="XO Thames" w:hAnsi="XO Thames"/>
      <w:b/>
      <w:color w:val="000000"/>
      <w:spacing w:val="0"/>
      <w:sz w:val="24"/>
    </w:rPr>
  </w:style>
  <w:style w:type="character" w:styleId="List11">
    <w:name w:val="List11"/>
    <w:basedOn w:val="Textbody2"/>
    <w:link w:val="List111"/>
    <w:qFormat/>
    <w:rPr/>
  </w:style>
  <w:style w:type="character" w:styleId="Contents61">
    <w:name w:val="Contents 61"/>
    <w:link w:val="Contents63"/>
    <w:qFormat/>
    <w:rPr>
      <w:rFonts w:ascii="XO Thames" w:hAnsi="XO Thames"/>
      <w:color w:val="000000"/>
      <w:spacing w:val="0"/>
      <w:sz w:val="28"/>
    </w:rPr>
  </w:style>
  <w:style w:type="character" w:styleId="111111111121">
    <w:name w:val="Указатель11111111112"/>
    <w:link w:val="1111111111212"/>
    <w:qFormat/>
    <w:rPr/>
  </w:style>
  <w:style w:type="character" w:styleId="Contents32">
    <w:name w:val="Contents 32"/>
    <w:link w:val="Contents321"/>
    <w:qFormat/>
    <w:rPr>
      <w:rFonts w:ascii="XO Thames" w:hAnsi="XO Thames"/>
      <w:color w:val="000000"/>
      <w:spacing w:val="0"/>
      <w:sz w:val="28"/>
    </w:rPr>
  </w:style>
  <w:style w:type="character" w:styleId="Annotationtext11">
    <w:name w:val="annotation text11"/>
    <w:link w:val="Annotationtext111"/>
    <w:qFormat/>
    <w:rPr>
      <w:rFonts w:ascii="Calibri" w:hAnsi="Calibri" w:asciiTheme="minorAscii" w:hAnsiTheme="minorHAnsi"/>
      <w:sz w:val="20"/>
    </w:rPr>
  </w:style>
  <w:style w:type="character" w:styleId="311">
    <w:name w:val="Содержимое врезки31"/>
    <w:link w:val="3112"/>
    <w:qFormat/>
    <w:rPr/>
  </w:style>
  <w:style w:type="character" w:styleId="111121">
    <w:name w:val="Указатель11112"/>
    <w:link w:val="1111212"/>
    <w:qFormat/>
    <w:rPr/>
  </w:style>
  <w:style w:type="character" w:styleId="Contents5">
    <w:name w:val="Contents 5"/>
    <w:qFormat/>
    <w:rPr>
      <w:rFonts w:ascii="XO Thames" w:hAnsi="XO Thames"/>
      <w:color w:val="000000"/>
      <w:spacing w:val="0"/>
      <w:sz w:val="28"/>
    </w:rPr>
  </w:style>
  <w:style w:type="character" w:styleId="Textbodyindent2">
    <w:name w:val="Text body indent2"/>
    <w:link w:val="Textbodyindent21"/>
    <w:qFormat/>
    <w:rPr>
      <w:rFonts w:ascii="Calibri" w:hAnsi="Calibri" w:asciiTheme="minorAscii" w:hAnsiTheme="minorHAnsi"/>
      <w:color w:val="000000"/>
      <w:spacing w:val="0"/>
      <w:sz w:val="20"/>
    </w:rPr>
  </w:style>
  <w:style w:type="character" w:styleId="Contents92">
    <w:name w:val="Contents 92"/>
    <w:link w:val="Contents921"/>
    <w:qFormat/>
    <w:rPr>
      <w:rFonts w:ascii="XO Thames" w:hAnsi="XO Thames"/>
      <w:color w:val="000000"/>
      <w:spacing w:val="0"/>
      <w:sz w:val="28"/>
    </w:rPr>
  </w:style>
  <w:style w:type="character" w:styleId="Internetlink1">
    <w:name w:val="Internet link1"/>
    <w:link w:val="Internetlink11"/>
    <w:qFormat/>
    <w:rPr>
      <w:rFonts w:ascii="Calibri" w:hAnsi="Calibri"/>
      <w:color w:val="0000FF"/>
      <w:spacing w:val="0"/>
      <w:sz w:val="22"/>
      <w:u w:val="single"/>
    </w:rPr>
  </w:style>
  <w:style w:type="character" w:styleId="118">
    <w:name w:val="Знак11"/>
    <w:link w:val="11124"/>
    <w:qFormat/>
    <w:rPr/>
  </w:style>
  <w:style w:type="character" w:styleId="EndnoteSymbol2">
    <w:name w:val="Endnote Symbol2"/>
    <w:link w:val="EndnoteSymbol21"/>
    <w:qFormat/>
    <w:rPr>
      <w:rFonts w:ascii="Calibri" w:hAnsi="Calibri" w:asciiTheme="minorAscii" w:hAnsiTheme="minorHAnsi"/>
      <w:color w:val="000000"/>
      <w:spacing w:val="0"/>
      <w:sz w:val="22"/>
      <w:vertAlign w:val="superscript"/>
    </w:rPr>
  </w:style>
  <w:style w:type="character" w:styleId="1111111121">
    <w:name w:val="Заголовок111111112"/>
    <w:link w:val="11111111212"/>
    <w:qFormat/>
    <w:rPr>
      <w:rFonts w:ascii="Liberation Sans" w:hAnsi="Liberation Sans"/>
      <w:sz w:val="28"/>
    </w:rPr>
  </w:style>
  <w:style w:type="character" w:styleId="StrongEmphasis2">
    <w:name w:val="Strong Emphasis2"/>
    <w:link w:val="StrongEmphasis21"/>
    <w:qFormat/>
    <w:rPr>
      <w:rFonts w:ascii="Calibri" w:hAnsi="Calibri" w:asciiTheme="minorAscii" w:hAnsiTheme="minorHAnsi"/>
      <w:b/>
      <w:color w:val="000000"/>
      <w:spacing w:val="0"/>
      <w:sz w:val="22"/>
    </w:rPr>
  </w:style>
  <w:style w:type="character" w:styleId="711">
    <w:name w:val="Содержимое врезки71"/>
    <w:link w:val="7112"/>
    <w:qFormat/>
    <w:rPr/>
  </w:style>
  <w:style w:type="character" w:styleId="Heading111">
    <w:name w:val="Heading 111"/>
    <w:link w:val="Heading113"/>
    <w:qFormat/>
    <w:rPr>
      <w:rFonts w:ascii="Arial" w:hAnsi="Arial"/>
      <w:b/>
      <w:sz w:val="32"/>
    </w:rPr>
  </w:style>
  <w:style w:type="character" w:styleId="Revision11">
    <w:name w:val="Revision11"/>
    <w:link w:val="Revision111"/>
    <w:qFormat/>
    <w:rPr>
      <w:rFonts w:ascii="Calibri" w:hAnsi="Calibri" w:asciiTheme="minorAscii" w:hAnsiTheme="minorHAnsi"/>
      <w:color w:val="000000"/>
      <w:spacing w:val="0"/>
      <w:sz w:val="22"/>
    </w:rPr>
  </w:style>
  <w:style w:type="character" w:styleId="Contents72">
    <w:name w:val="Contents 72"/>
    <w:link w:val="Contents721"/>
    <w:qFormat/>
    <w:rPr>
      <w:rFonts w:ascii="XO Thames" w:hAnsi="XO Thames"/>
      <w:color w:val="000000"/>
      <w:spacing w:val="0"/>
      <w:sz w:val="28"/>
    </w:rPr>
  </w:style>
  <w:style w:type="character" w:styleId="Heading312">
    <w:name w:val="Heading 312"/>
    <w:link w:val="Heading3121"/>
    <w:qFormat/>
    <w:rPr>
      <w:rFonts w:ascii="XO Thames" w:hAnsi="XO Thames"/>
      <w:b/>
      <w:color w:val="000000"/>
      <w:spacing w:val="0"/>
      <w:sz w:val="26"/>
    </w:rPr>
  </w:style>
  <w:style w:type="character" w:styleId="19">
    <w:name w:val="Колонтитул19"/>
    <w:link w:val="191"/>
    <w:qFormat/>
    <w:rPr>
      <w:rFonts w:ascii="XO Thames" w:hAnsi="XO Thames"/>
      <w:color w:val="000000"/>
      <w:spacing w:val="0"/>
      <w:sz w:val="28"/>
    </w:rPr>
  </w:style>
  <w:style w:type="character" w:styleId="Style13">
    <w:name w:val="Заголовок"/>
    <w:link w:val="1111111111111111112111111111111111111111111111111111111111111111111111111111111111111"/>
    <w:qFormat/>
    <w:rPr>
      <w:rFonts w:ascii="Liberation Sans" w:hAnsi="Liberation Sans"/>
      <w:sz w:val="28"/>
    </w:rPr>
  </w:style>
  <w:style w:type="character" w:styleId="11121">
    <w:name w:val="Указатель1112"/>
    <w:link w:val="111212"/>
    <w:qFormat/>
    <w:rPr/>
  </w:style>
  <w:style w:type="character" w:styleId="171">
    <w:name w:val="Колонтитул171"/>
    <w:link w:val="1711"/>
    <w:qFormat/>
    <w:rPr/>
  </w:style>
  <w:style w:type="character" w:styleId="ListParagraph11">
    <w:name w:val="List Paragraph11"/>
    <w:link w:val="ListParagraph111"/>
    <w:qFormat/>
    <w:rPr>
      <w:rFonts w:ascii="Calibri" w:hAnsi="Calibri"/>
      <w:sz w:val="22"/>
    </w:rPr>
  </w:style>
  <w:style w:type="character" w:styleId="Contents52">
    <w:name w:val="Contents 52"/>
    <w:link w:val="Contents521"/>
    <w:qFormat/>
    <w:rPr>
      <w:rFonts w:ascii="XO Thames" w:hAnsi="XO Thames"/>
      <w:color w:val="000000"/>
      <w:spacing w:val="0"/>
      <w:sz w:val="28"/>
    </w:rPr>
  </w:style>
  <w:style w:type="character" w:styleId="Subtitle1">
    <w:name w:val="Subtitle1"/>
    <w:qFormat/>
    <w:rPr>
      <w:rFonts w:ascii="XO Thames" w:hAnsi="XO Thames"/>
      <w:i/>
      <w:color w:val="000000"/>
      <w:spacing w:val="0"/>
      <w:sz w:val="24"/>
    </w:rPr>
  </w:style>
  <w:style w:type="character" w:styleId="Internetlink2">
    <w:name w:val="Internet link2"/>
    <w:link w:val="Internetlink21"/>
    <w:qFormat/>
    <w:rPr>
      <w:rFonts w:ascii="Calibri" w:hAnsi="Calibri"/>
      <w:color w:val="0000FF"/>
      <w:spacing w:val="0"/>
      <w:sz w:val="22"/>
      <w:u w:val="single"/>
    </w:rPr>
  </w:style>
  <w:style w:type="character" w:styleId="Caption2">
    <w:name w:val="Caption2"/>
    <w:link w:val="Caption21"/>
    <w:qFormat/>
    <w:rPr>
      <w:i/>
      <w:sz w:val="24"/>
    </w:rPr>
  </w:style>
  <w:style w:type="character" w:styleId="119">
    <w:name w:val="Символ сноски11"/>
    <w:link w:val="11125"/>
    <w:qFormat/>
    <w:rPr>
      <w:rFonts w:ascii="Calibri" w:hAnsi="Calibri" w:asciiTheme="minorAscii" w:hAnsiTheme="minorHAnsi"/>
      <w:color w:val="000000"/>
      <w:spacing w:val="0"/>
      <w:sz w:val="22"/>
      <w:vertAlign w:val="superscript"/>
    </w:rPr>
  </w:style>
  <w:style w:type="character" w:styleId="Contents42">
    <w:name w:val="Contents 42"/>
    <w:link w:val="Contents421"/>
    <w:qFormat/>
    <w:rPr>
      <w:rFonts w:ascii="XO Thames" w:hAnsi="XO Thames"/>
      <w:color w:val="000000"/>
      <w:spacing w:val="0"/>
      <w:sz w:val="28"/>
    </w:rPr>
  </w:style>
  <w:style w:type="character" w:styleId="1114">
    <w:name w:val="Обычный111"/>
    <w:link w:val="111110"/>
    <w:qFormat/>
    <w:rPr>
      <w:rFonts w:ascii="Times New Roman" w:hAnsi="Times New Roman"/>
      <w:color w:val="000000"/>
      <w:spacing w:val="0"/>
      <w:sz w:val="22"/>
    </w:rPr>
  </w:style>
  <w:style w:type="character" w:styleId="Title1">
    <w:name w:val="Title1"/>
    <w:qFormat/>
    <w:rPr>
      <w:rFonts w:ascii="XO Thames" w:hAnsi="XO Thames"/>
      <w:b/>
      <w:caps/>
      <w:color w:val="000000"/>
      <w:spacing w:val="0"/>
      <w:sz w:val="40"/>
    </w:rPr>
  </w:style>
  <w:style w:type="character" w:styleId="161">
    <w:name w:val="Колонтитул161"/>
    <w:link w:val="1611"/>
    <w:qFormat/>
    <w:rPr/>
  </w:style>
  <w:style w:type="character" w:styleId="Heading41">
    <w:name w:val="Heading 41"/>
    <w:qFormat/>
    <w:rPr>
      <w:rFonts w:ascii="XO Thames" w:hAnsi="XO Thames"/>
      <w:b/>
      <w:color w:val="000000"/>
      <w:spacing w:val="0"/>
      <w:sz w:val="24"/>
    </w:rPr>
  </w:style>
  <w:style w:type="character" w:styleId="Style111">
    <w:name w:val="Style111"/>
    <w:link w:val="Style1111"/>
    <w:qFormat/>
    <w:rPr>
      <w:rFonts w:ascii="Calibri" w:hAnsi="Calibri"/>
    </w:rPr>
  </w:style>
  <w:style w:type="character" w:styleId="FootnoteSymbol1">
    <w:name w:val="Footnote Symbol1"/>
    <w:link w:val="FootnoteSymbol11"/>
    <w:qFormat/>
    <w:rPr>
      <w:rFonts w:ascii="Calibri" w:hAnsi="Calibri" w:asciiTheme="minorAscii" w:hAnsiTheme="minorHAnsi"/>
      <w:color w:val="000000"/>
      <w:spacing w:val="0"/>
      <w:sz w:val="22"/>
      <w:vertAlign w:val="superscript"/>
    </w:rPr>
  </w:style>
  <w:style w:type="character" w:styleId="212">
    <w:name w:val="Колонтитул21"/>
    <w:link w:val="2113"/>
    <w:qFormat/>
    <w:rPr/>
  </w:style>
  <w:style w:type="character" w:styleId="1110">
    <w:name w:val="Нижний колонтитул Знак11"/>
    <w:basedOn w:val="DefaultParagraphFont11"/>
    <w:link w:val="11126"/>
    <w:qFormat/>
    <w:rPr/>
  </w:style>
  <w:style w:type="character" w:styleId="Heading21">
    <w:name w:val="Heading 21"/>
    <w:qFormat/>
    <w:rPr>
      <w:b/>
      <w:sz w:val="36"/>
    </w:rPr>
  </w:style>
  <w:style w:type="character" w:styleId="Title11">
    <w:name w:val="Title11"/>
    <w:link w:val="Title111"/>
    <w:qFormat/>
    <w:rPr>
      <w:rFonts w:ascii="XO Thames" w:hAnsi="XO Thames"/>
      <w:b/>
      <w:caps/>
      <w:color w:val="000000"/>
      <w:spacing w:val="0"/>
      <w:sz w:val="40"/>
    </w:rPr>
  </w:style>
  <w:style w:type="character" w:styleId="11111111111111121">
    <w:name w:val="Указатель1111111111111112"/>
    <w:link w:val="111111111111111212"/>
    <w:qFormat/>
    <w:rPr/>
  </w:style>
  <w:style w:type="character" w:styleId="Style511">
    <w:name w:val="Style511"/>
    <w:link w:val="Style5111"/>
    <w:qFormat/>
    <w:rPr>
      <w:rFonts w:ascii="Calibri" w:hAnsi="Calibri"/>
    </w:rPr>
  </w:style>
  <w:style w:type="character" w:styleId="Contents31">
    <w:name w:val="Contents 31"/>
    <w:link w:val="Contents33"/>
    <w:qFormat/>
    <w:rPr>
      <w:rFonts w:ascii="XO Thames" w:hAnsi="XO Thames"/>
      <w:color w:val="000000"/>
      <w:spacing w:val="0"/>
      <w:sz w:val="28"/>
    </w:rPr>
  </w:style>
  <w:style w:type="character" w:styleId="Heading42">
    <w:name w:val="Heading 42"/>
    <w:link w:val="Heading421"/>
    <w:qFormat/>
    <w:rPr>
      <w:rFonts w:ascii="XO Thames" w:hAnsi="XO Thames"/>
      <w:b/>
      <w:color w:val="000000"/>
      <w:spacing w:val="0"/>
      <w:sz w:val="24"/>
    </w:rPr>
  </w:style>
  <w:style w:type="character" w:styleId="1011">
    <w:name w:val="Колонтитул101"/>
    <w:link w:val="10112"/>
    <w:qFormat/>
    <w:rPr/>
  </w:style>
  <w:style w:type="character" w:styleId="Title2">
    <w:name w:val="Title2"/>
    <w:link w:val="Title21"/>
    <w:qFormat/>
    <w:rPr>
      <w:rFonts w:ascii="XO Thames" w:hAnsi="XO Thames"/>
      <w:b/>
      <w:caps/>
      <w:color w:val="000000"/>
      <w:spacing w:val="0"/>
      <w:sz w:val="40"/>
    </w:rPr>
  </w:style>
  <w:style w:type="character" w:styleId="FollowedHyperlink">
    <w:name w:val="FollowedHyperlink"/>
    <w:rPr>
      <w:color w:val="800000"/>
      <w:u w:val="single"/>
    </w:rPr>
  </w:style>
  <w:style w:type="paragraph" w:styleId="1">
    <w:name w:val="Заголовок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BodyText">
    <w:name w:val="Body Text"/>
    <w:basedOn w:val="Normal"/>
    <w:pPr>
      <w:jc w:val="both"/>
    </w:pPr>
    <w:rPr/>
  </w:style>
  <w:style w:type="paragraph" w:styleId="List">
    <w:name w:val="List"/>
    <w:basedOn w:val="BodyText"/>
    <w:pPr/>
    <w:rPr/>
  </w:style>
  <w:style w:type="paragraph" w:styleId="Caption">
    <w:name w:val="Caption"/>
    <w:basedOn w:val="Normal"/>
    <w:qFormat/>
    <w:pPr>
      <w:spacing w:before="120" w:after="120"/>
    </w:pPr>
    <w:rPr>
      <w:i/>
      <w:sz w:val="24"/>
    </w:rPr>
  </w:style>
  <w:style w:type="paragraph" w:styleId="13">
    <w:name w:val="Указатель1"/>
    <w:basedOn w:val="Normal"/>
    <w:qFormat/>
    <w:pPr>
      <w:suppressLineNumbers/>
    </w:pPr>
    <w:rPr>
      <w:rFonts w:cs="Droid Sans Devanagari"/>
    </w:rPr>
  </w:style>
  <w:style w:type="paragraph" w:styleId="1115">
    <w:name w:val="Заголовок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6">
    <w:name w:val="Указатель11"/>
    <w:basedOn w:val="Normal"/>
    <w:qFormat/>
    <w:pPr>
      <w:suppressLineNumbers/>
    </w:pPr>
    <w:rPr>
      <w:rFonts w:cs="Droid Sans Devanagari"/>
    </w:rPr>
  </w:style>
  <w:style w:type="paragraph" w:styleId="1117">
    <w:name w:val="Заголовок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8">
    <w:name w:val="Указатель111"/>
    <w:basedOn w:val="Normal"/>
    <w:qFormat/>
    <w:pPr>
      <w:suppressLineNumbers/>
    </w:pPr>
    <w:rPr>
      <w:rFonts w:cs="Droid Sans Devanagari"/>
    </w:rPr>
  </w:style>
  <w:style w:type="paragraph" w:styleId="11113">
    <w:name w:val="Заголовок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4">
    <w:name w:val="Указатель1111"/>
    <w:basedOn w:val="Normal"/>
    <w:qFormat/>
    <w:pPr>
      <w:suppressLineNumbers/>
    </w:pPr>
    <w:rPr>
      <w:rFonts w:cs="Droid Sans Devanagari"/>
    </w:rPr>
  </w:style>
  <w:style w:type="paragraph" w:styleId="111111">
    <w:name w:val="Заголовок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3">
    <w:name w:val="Указатель11111"/>
    <w:basedOn w:val="Normal"/>
    <w:qFormat/>
    <w:pPr>
      <w:suppressLineNumbers/>
    </w:pPr>
    <w:rPr>
      <w:rFonts w:cs="Droid Sans Devanagari"/>
    </w:rPr>
  </w:style>
  <w:style w:type="paragraph" w:styleId="1111111">
    <w:name w:val="Заголовок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3">
    <w:name w:val="Указатель111111"/>
    <w:basedOn w:val="Normal"/>
    <w:qFormat/>
    <w:pPr>
      <w:suppressLineNumbers/>
    </w:pPr>
    <w:rPr>
      <w:rFonts w:cs="Droid Sans Devanagari"/>
    </w:rPr>
  </w:style>
  <w:style w:type="paragraph" w:styleId="11111111">
    <w:name w:val="Заголовок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3">
    <w:name w:val="Указатель1111111"/>
    <w:basedOn w:val="Normal"/>
    <w:qFormat/>
    <w:pPr>
      <w:suppressLineNumbers/>
    </w:pPr>
    <w:rPr>
      <w:rFonts w:cs="Droid Sans Devanagari"/>
    </w:rPr>
  </w:style>
  <w:style w:type="paragraph" w:styleId="111111111">
    <w:name w:val="Заголовок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3">
    <w:name w:val="Указатель11111111"/>
    <w:basedOn w:val="Normal"/>
    <w:qFormat/>
    <w:pPr>
      <w:suppressLineNumbers/>
    </w:pPr>
    <w:rPr>
      <w:rFonts w:cs="Droid Sans Devanagari"/>
    </w:rPr>
  </w:style>
  <w:style w:type="paragraph" w:styleId="1111111111">
    <w:name w:val="Заголовок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3">
    <w:name w:val="Указатель111111111"/>
    <w:basedOn w:val="Normal"/>
    <w:qFormat/>
    <w:pPr>
      <w:suppressLineNumbers/>
    </w:pPr>
    <w:rPr>
      <w:rFonts w:cs="Droid Sans Devanagari"/>
    </w:rPr>
  </w:style>
  <w:style w:type="paragraph" w:styleId="11111111111">
    <w:name w:val="Заголовок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3">
    <w:name w:val="Указатель1111111111"/>
    <w:basedOn w:val="Normal"/>
    <w:qFormat/>
    <w:pPr>
      <w:suppressLineNumbers/>
    </w:pPr>
    <w:rPr>
      <w:rFonts w:cs="Droid Sans Devanagari"/>
    </w:rPr>
  </w:style>
  <w:style w:type="paragraph" w:styleId="111111111111">
    <w:name w:val="Заголовок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3">
    <w:name w:val="Указатель11111111111"/>
    <w:basedOn w:val="Normal"/>
    <w:qFormat/>
    <w:pPr>
      <w:suppressLineNumbers/>
    </w:pPr>
    <w:rPr>
      <w:rFonts w:cs="Droid Sans Devanagari"/>
    </w:rPr>
  </w:style>
  <w:style w:type="paragraph" w:styleId="1111111111111">
    <w:name w:val="Заголовок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3">
    <w:name w:val="Указатель111111111111"/>
    <w:basedOn w:val="Normal"/>
    <w:qFormat/>
    <w:pPr>
      <w:suppressLineNumbers/>
    </w:pPr>
    <w:rPr>
      <w:rFonts w:cs="Droid Sans Devanagari"/>
    </w:rPr>
  </w:style>
  <w:style w:type="paragraph" w:styleId="11111111111111">
    <w:name w:val="Заголовок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3">
    <w:name w:val="Указатель1111111111111"/>
    <w:basedOn w:val="Normal"/>
    <w:qFormat/>
    <w:pPr>
      <w:suppressLineNumbers/>
    </w:pPr>
    <w:rPr>
      <w:rFonts w:cs="Droid Sans Devanagari"/>
    </w:rPr>
  </w:style>
  <w:style w:type="paragraph" w:styleId="111111111111111">
    <w:name w:val="Заголовок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3">
    <w:name w:val="Указатель11111111111111"/>
    <w:basedOn w:val="Normal"/>
    <w:qFormat/>
    <w:pPr>
      <w:suppressLineNumbers/>
    </w:pPr>
    <w:rPr>
      <w:rFonts w:cs="Droid Sans Devanagari"/>
    </w:rPr>
  </w:style>
  <w:style w:type="paragraph" w:styleId="1111111111111111">
    <w:name w:val="Заголовок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3">
    <w:name w:val="Указатель111111111111111"/>
    <w:basedOn w:val="Normal"/>
    <w:qFormat/>
    <w:pPr>
      <w:suppressLineNumbers/>
    </w:pPr>
    <w:rPr>
      <w:rFonts w:cs="Droid Sans Devanagari"/>
    </w:rPr>
  </w:style>
  <w:style w:type="paragraph" w:styleId="11111111111111111">
    <w:name w:val="Заголовок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3">
    <w:name w:val="Указатель1111111111111111"/>
    <w:basedOn w:val="Normal"/>
    <w:qFormat/>
    <w:pPr>
      <w:suppressLineNumbers/>
    </w:pPr>
    <w:rPr>
      <w:rFonts w:cs="Droid Sans Devanagari"/>
    </w:rPr>
  </w:style>
  <w:style w:type="paragraph" w:styleId="111111111111111111">
    <w:name w:val="Заголовок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3">
    <w:name w:val="Указатель11111111111111111"/>
    <w:basedOn w:val="Normal"/>
    <w:qFormat/>
    <w:pPr>
      <w:suppressLineNumbers/>
    </w:pPr>
    <w:rPr>
      <w:rFonts w:cs="Droid Sans Devanagari"/>
    </w:rPr>
  </w:style>
  <w:style w:type="paragraph" w:styleId="1111111111111111112">
    <w:name w:val="Заголовок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3">
    <w:name w:val="Указатель111111111111111111"/>
    <w:basedOn w:val="Normal"/>
    <w:qFormat/>
    <w:pPr>
      <w:suppressLineNumbers/>
    </w:pPr>
    <w:rPr>
      <w:rFonts w:cs="Droid Sans Devanagari"/>
    </w:rPr>
  </w:style>
  <w:style w:type="paragraph" w:styleId="11111111111111111121">
    <w:name w:val="Заголовок1111111111111111112"/>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2">
    <w:name w:val="Указатель1111111111111111112"/>
    <w:basedOn w:val="Normal"/>
    <w:qFormat/>
    <w:pPr>
      <w:suppressLineNumbers/>
    </w:pPr>
    <w:rPr>
      <w:rFonts w:cs="Droid Sans Devanagari"/>
    </w:rPr>
  </w:style>
  <w:style w:type="paragraph" w:styleId="111111111111111111211">
    <w:name w:val="Заголовок1111111111111111112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2">
    <w:name w:val="Указатель11111111111111111121"/>
    <w:basedOn w:val="Normal"/>
    <w:qFormat/>
    <w:pPr>
      <w:suppressLineNumbers/>
    </w:pPr>
    <w:rPr>
      <w:rFonts w:cs="Droid Sans Devanagari"/>
    </w:rPr>
  </w:style>
  <w:style w:type="paragraph" w:styleId="1111111111111111112111">
    <w:name w:val="Заголовок1111111111111111112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2">
    <w:name w:val="Указатель111111111111111111211"/>
    <w:basedOn w:val="Normal"/>
    <w:qFormat/>
    <w:pPr>
      <w:suppressLineNumbers/>
    </w:pPr>
    <w:rPr>
      <w:rFonts w:cs="Droid Sans Devanagari"/>
    </w:rPr>
  </w:style>
  <w:style w:type="paragraph" w:styleId="11111111111111111121111">
    <w:name w:val="Заголовок1111111111111111112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2">
    <w:name w:val="Указатель1111111111111111112111"/>
    <w:basedOn w:val="Normal"/>
    <w:qFormat/>
    <w:pPr>
      <w:suppressLineNumbers/>
    </w:pPr>
    <w:rPr>
      <w:rFonts w:cs="Droid Sans Devanagari"/>
    </w:rPr>
  </w:style>
  <w:style w:type="paragraph" w:styleId="111111111111111111211111">
    <w:name w:val="Заголовок1111111111111111112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2">
    <w:name w:val="Указатель11111111111111111121111"/>
    <w:basedOn w:val="Normal"/>
    <w:qFormat/>
    <w:pPr>
      <w:suppressLineNumbers/>
    </w:pPr>
    <w:rPr>
      <w:rFonts w:cs="Droid Sans Devanagari"/>
    </w:rPr>
  </w:style>
  <w:style w:type="paragraph" w:styleId="1111111111111111112111111">
    <w:name w:val="Заголовок1111111111111111112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2">
    <w:name w:val="Указатель111111111111111111211111"/>
    <w:basedOn w:val="Normal"/>
    <w:qFormat/>
    <w:pPr>
      <w:suppressLineNumbers/>
    </w:pPr>
    <w:rPr>
      <w:rFonts w:cs="Droid Sans Devanagari"/>
    </w:rPr>
  </w:style>
  <w:style w:type="paragraph" w:styleId="11111111111111111121111111">
    <w:name w:val="Заголовок1111111111111111112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2">
    <w:name w:val="Указатель1111111111111111112111111"/>
    <w:basedOn w:val="Normal"/>
    <w:qFormat/>
    <w:pPr>
      <w:suppressLineNumbers/>
    </w:pPr>
    <w:rPr>
      <w:rFonts w:cs="Droid Sans Devanagari"/>
    </w:rPr>
  </w:style>
  <w:style w:type="paragraph" w:styleId="111111111111111111211111111">
    <w:name w:val="Заголовок1111111111111111112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2">
    <w:name w:val="Указатель11111111111111111121111111"/>
    <w:basedOn w:val="Normal"/>
    <w:qFormat/>
    <w:pPr>
      <w:suppressLineNumbers/>
    </w:pPr>
    <w:rPr>
      <w:rFonts w:cs="Droid Sans Devanagari"/>
    </w:rPr>
  </w:style>
  <w:style w:type="paragraph" w:styleId="1111111111111111112111111111">
    <w:name w:val="Заголовок1111111111111111112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2">
    <w:name w:val="Указатель111111111111111111211111111"/>
    <w:basedOn w:val="Normal"/>
    <w:qFormat/>
    <w:pPr>
      <w:suppressLineNumbers/>
    </w:pPr>
    <w:rPr>
      <w:rFonts w:cs="Droid Sans Devanagari"/>
    </w:rPr>
  </w:style>
  <w:style w:type="paragraph" w:styleId="11111111111111111121111111111">
    <w:name w:val="Заголовок1111111111111111112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2">
    <w:name w:val="Указатель1111111111111111112111111111"/>
    <w:basedOn w:val="Normal"/>
    <w:qFormat/>
    <w:pPr>
      <w:suppressLineNumbers/>
    </w:pPr>
    <w:rPr>
      <w:rFonts w:cs="Droid Sans Devanagari"/>
    </w:rPr>
  </w:style>
  <w:style w:type="paragraph" w:styleId="111111111111111111211111111111">
    <w:name w:val="Заголовок1111111111111111112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2">
    <w:name w:val="Указатель11111111111111111121111111111"/>
    <w:basedOn w:val="Normal"/>
    <w:qFormat/>
    <w:pPr>
      <w:suppressLineNumbers/>
    </w:pPr>
    <w:rPr>
      <w:rFonts w:cs="Droid Sans Devanagari"/>
    </w:rPr>
  </w:style>
  <w:style w:type="paragraph" w:styleId="1111111111111111112111111111111">
    <w:name w:val="Заголовок1111111111111111112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2">
    <w:name w:val="Указатель111111111111111111211111111111"/>
    <w:basedOn w:val="Normal"/>
    <w:qFormat/>
    <w:pPr>
      <w:suppressLineNumbers/>
    </w:pPr>
    <w:rPr>
      <w:rFonts w:cs="Droid Sans Devanagari"/>
    </w:rPr>
  </w:style>
  <w:style w:type="paragraph" w:styleId="11111111111111111121111111111111">
    <w:name w:val="Заголовок1111111111111111112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2">
    <w:name w:val="Указатель1111111111111111112111111111111"/>
    <w:basedOn w:val="Normal"/>
    <w:qFormat/>
    <w:pPr>
      <w:suppressLineNumbers/>
    </w:pPr>
    <w:rPr>
      <w:rFonts w:cs="Droid Sans Devanagari"/>
    </w:rPr>
  </w:style>
  <w:style w:type="paragraph" w:styleId="111111111111111111211111111111111">
    <w:name w:val="Заголовок1111111111111111112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2">
    <w:name w:val="Указатель11111111111111111121111111111111"/>
    <w:basedOn w:val="Normal"/>
    <w:qFormat/>
    <w:pPr>
      <w:suppressLineNumbers/>
    </w:pPr>
    <w:rPr>
      <w:rFonts w:cs="Droid Sans Devanagari"/>
    </w:rPr>
  </w:style>
  <w:style w:type="paragraph" w:styleId="1111111111111111112111111111111111">
    <w:name w:val="Заголовок1111111111111111112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2">
    <w:name w:val="Указатель111111111111111111211111111111111"/>
    <w:basedOn w:val="Normal"/>
    <w:qFormat/>
    <w:pPr>
      <w:suppressLineNumbers/>
    </w:pPr>
    <w:rPr>
      <w:rFonts w:cs="Droid Sans Devanagari"/>
    </w:rPr>
  </w:style>
  <w:style w:type="paragraph" w:styleId="11111111111111111121111111111111111">
    <w:name w:val="Заголовок1111111111111111112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2">
    <w:name w:val="Указатель1111111111111111112111111111111111"/>
    <w:basedOn w:val="Normal"/>
    <w:qFormat/>
    <w:pPr>
      <w:suppressLineNumbers/>
    </w:pPr>
    <w:rPr>
      <w:rFonts w:cs="Droid Sans Devanagari"/>
    </w:rPr>
  </w:style>
  <w:style w:type="paragraph" w:styleId="111111111111111111211111111111111111">
    <w:name w:val="Заголовок1111111111111111112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2">
    <w:name w:val="Указатель11111111111111111121111111111111111"/>
    <w:basedOn w:val="Normal"/>
    <w:qFormat/>
    <w:pPr>
      <w:suppressLineNumbers/>
    </w:pPr>
    <w:rPr>
      <w:rFonts w:cs="Droid Sans Devanagari"/>
    </w:rPr>
  </w:style>
  <w:style w:type="paragraph" w:styleId="1111111111111111112111111111111111111">
    <w:name w:val="Заголовок1111111111111111112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2">
    <w:name w:val="Указатель111111111111111111211111111111111111"/>
    <w:basedOn w:val="Normal"/>
    <w:qFormat/>
    <w:pPr>
      <w:suppressLineNumbers/>
    </w:pPr>
    <w:rPr>
      <w:rFonts w:cs="Droid Sans Devanagari"/>
    </w:rPr>
  </w:style>
  <w:style w:type="paragraph" w:styleId="11111111111111111121111111111111111111">
    <w:name w:val="Заголовок1111111111111111112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2">
    <w:name w:val="Указатель1111111111111111112111111111111111111"/>
    <w:basedOn w:val="Normal"/>
    <w:qFormat/>
    <w:pPr>
      <w:suppressLineNumbers/>
    </w:pPr>
    <w:rPr>
      <w:rFonts w:cs="Droid Sans Devanagari"/>
    </w:rPr>
  </w:style>
  <w:style w:type="paragraph" w:styleId="111111111111111111211111111111111111111">
    <w:name w:val="Заголовок1111111111111111112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2">
    <w:name w:val="Указатель11111111111111111121111111111111111111"/>
    <w:basedOn w:val="Normal"/>
    <w:qFormat/>
    <w:pPr>
      <w:suppressLineNumbers/>
    </w:pPr>
    <w:rPr>
      <w:rFonts w:cs="Droid Sans Devanagari"/>
    </w:rPr>
  </w:style>
  <w:style w:type="paragraph" w:styleId="1111111111111111112111111111111111111111">
    <w:name w:val="Заголовок1111111111111111112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2">
    <w:name w:val="Указатель111111111111111111211111111111111111111"/>
    <w:basedOn w:val="Normal"/>
    <w:qFormat/>
    <w:pPr>
      <w:suppressLineNumbers/>
    </w:pPr>
    <w:rPr>
      <w:rFonts w:cs="Droid Sans Devanagari"/>
    </w:rPr>
  </w:style>
  <w:style w:type="paragraph" w:styleId="11111111111111111121111111111111111111111">
    <w:name w:val="Заголовок1111111111111111112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2">
    <w:name w:val="Указатель1111111111111111112111111111111111111111"/>
    <w:basedOn w:val="Normal"/>
    <w:qFormat/>
    <w:pPr>
      <w:suppressLineNumbers/>
    </w:pPr>
    <w:rPr>
      <w:rFonts w:cs="Droid Sans Devanagari"/>
    </w:rPr>
  </w:style>
  <w:style w:type="paragraph" w:styleId="111111111111111111211111111111111111111111">
    <w:name w:val="Заголовок1111111111111111112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2">
    <w:name w:val="Указатель11111111111111111121111111111111111111111"/>
    <w:basedOn w:val="Normal"/>
    <w:qFormat/>
    <w:pPr>
      <w:suppressLineNumbers/>
    </w:pPr>
    <w:rPr>
      <w:rFonts w:cs="Droid Sans Devanagari"/>
    </w:rPr>
  </w:style>
  <w:style w:type="paragraph" w:styleId="1111111111111111112111111111111111111111111">
    <w:name w:val="Заголовок1111111111111111112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2">
    <w:name w:val="Указатель111111111111111111211111111111111111111111"/>
    <w:basedOn w:val="Normal"/>
    <w:qFormat/>
    <w:pPr>
      <w:suppressLineNumbers/>
    </w:pPr>
    <w:rPr>
      <w:rFonts w:cs="Droid Sans Devanagari"/>
    </w:rPr>
  </w:style>
  <w:style w:type="paragraph" w:styleId="11111111111111111121111111111111111111111111">
    <w:name w:val="Заголовок1111111111111111112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2">
    <w:name w:val="Указатель1111111111111111112111111111111111111111111"/>
    <w:basedOn w:val="Normal"/>
    <w:qFormat/>
    <w:pPr>
      <w:suppressLineNumbers/>
    </w:pPr>
    <w:rPr>
      <w:rFonts w:cs="Droid Sans Devanagari"/>
    </w:rPr>
  </w:style>
  <w:style w:type="paragraph" w:styleId="111111111111111111211111111111111111111111111">
    <w:name w:val="Заголовок1111111111111111112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2">
    <w:name w:val="Указатель11111111111111111121111111111111111111111111"/>
    <w:basedOn w:val="Normal"/>
    <w:qFormat/>
    <w:pPr>
      <w:suppressLineNumbers/>
    </w:pPr>
    <w:rPr>
      <w:rFonts w:cs="Droid Sans Devanagari"/>
    </w:rPr>
  </w:style>
  <w:style w:type="paragraph" w:styleId="1111111111111111112111111111111111111111111111">
    <w:name w:val="Заголовок1111111111111111112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2">
    <w:name w:val="Указатель111111111111111111211111111111111111111111111"/>
    <w:basedOn w:val="Normal"/>
    <w:qFormat/>
    <w:pPr>
      <w:suppressLineNumbers/>
    </w:pPr>
    <w:rPr>
      <w:rFonts w:cs="Droid Sans Devanagari"/>
    </w:rPr>
  </w:style>
  <w:style w:type="paragraph" w:styleId="11111111111111111121111111111111111111111111111">
    <w:name w:val="Заголовок1111111111111111112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2">
    <w:name w:val="Указатель1111111111111111112111111111111111111111111111"/>
    <w:basedOn w:val="Normal"/>
    <w:qFormat/>
    <w:pPr>
      <w:suppressLineNumbers/>
    </w:pPr>
    <w:rPr>
      <w:rFonts w:cs="Droid Sans Devanagari"/>
    </w:rPr>
  </w:style>
  <w:style w:type="paragraph" w:styleId="111111111111111111211111111111111111111111111111">
    <w:name w:val="Заголовок1111111111111111112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2">
    <w:name w:val="Указатель11111111111111111121111111111111111111111111111"/>
    <w:basedOn w:val="Normal"/>
    <w:qFormat/>
    <w:pPr>
      <w:suppressLineNumbers/>
    </w:pPr>
    <w:rPr>
      <w:rFonts w:cs="Droid Sans Devanagari"/>
    </w:rPr>
  </w:style>
  <w:style w:type="paragraph" w:styleId="1111111111111111112111111111111111111111111111111">
    <w:name w:val="Заголовок1111111111111111112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2">
    <w:name w:val="Указатель111111111111111111211111111111111111111111111111"/>
    <w:basedOn w:val="Normal"/>
    <w:qFormat/>
    <w:pPr>
      <w:suppressLineNumbers/>
    </w:pPr>
    <w:rPr>
      <w:rFonts w:cs="Droid Sans Devanagari"/>
    </w:rPr>
  </w:style>
  <w:style w:type="paragraph" w:styleId="11111111111111111121111111111111111111111111111111">
    <w:name w:val="Заголовок1111111111111111112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2">
    <w:name w:val="Указатель1111111111111111112111111111111111111111111111111"/>
    <w:basedOn w:val="Normal"/>
    <w:qFormat/>
    <w:pPr>
      <w:suppressLineNumbers/>
    </w:pPr>
    <w:rPr>
      <w:rFonts w:cs="Droid Sans Devanagari"/>
    </w:rPr>
  </w:style>
  <w:style w:type="paragraph" w:styleId="111111111111111111211111111111111111111111111111111">
    <w:name w:val="Заголовок1111111111111111112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2">
    <w:name w:val="Указатель11111111111111111121111111111111111111111111111111"/>
    <w:basedOn w:val="Normal"/>
    <w:qFormat/>
    <w:pPr>
      <w:suppressLineNumbers/>
    </w:pPr>
    <w:rPr>
      <w:rFonts w:cs="Droid Sans Devanagari"/>
    </w:rPr>
  </w:style>
  <w:style w:type="paragraph" w:styleId="1111111111111111112111111111111111111111111111111111">
    <w:name w:val="Заголовок1111111111111111112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12">
    <w:name w:val="Указатель111111111111111111211111111111111111111111111111111"/>
    <w:basedOn w:val="Normal"/>
    <w:qFormat/>
    <w:pPr>
      <w:suppressLineNumbers/>
    </w:pPr>
    <w:rPr>
      <w:rFonts w:cs="Droid Sans Devanagari"/>
    </w:rPr>
  </w:style>
  <w:style w:type="paragraph" w:styleId="11111111111111111121111111111111111111111111111111111">
    <w:name w:val="Заголовок1111111111111111112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112">
    <w:name w:val="Указатель1111111111111111112111111111111111111111111111111111"/>
    <w:basedOn w:val="Normal"/>
    <w:qFormat/>
    <w:pPr>
      <w:suppressLineNumbers/>
    </w:pPr>
    <w:rPr>
      <w:rFonts w:cs="Droid Sans Devanagari"/>
    </w:rPr>
  </w:style>
  <w:style w:type="paragraph" w:styleId="111111111111111111211111111111111111111111111111111111">
    <w:name w:val="Заголовок1111111111111111112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1112">
    <w:name w:val="Указатель11111111111111111121111111111111111111111111111111111"/>
    <w:basedOn w:val="Normal"/>
    <w:qFormat/>
    <w:pPr>
      <w:suppressLineNumbers/>
    </w:pPr>
    <w:rPr>
      <w:rFonts w:cs="Droid Sans Devanagari"/>
    </w:rPr>
  </w:style>
  <w:style w:type="paragraph" w:styleId="1111111111111111112111111111111111111111111111111111111">
    <w:name w:val="Заголовок1111111111111111112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11112">
    <w:name w:val="Указатель111111111111111111211111111111111111111111111111111111"/>
    <w:basedOn w:val="Normal"/>
    <w:qFormat/>
    <w:pPr>
      <w:suppressLineNumbers/>
    </w:pPr>
    <w:rPr>
      <w:rFonts w:cs="Droid Sans Devanagari"/>
    </w:rPr>
  </w:style>
  <w:style w:type="paragraph" w:styleId="11111111111111111121111111111111111111111111111111111111">
    <w:name w:val="Заголовок1111111111111111112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111112">
    <w:name w:val="Указатель1111111111111111112111111111111111111111111111111111111"/>
    <w:basedOn w:val="Normal"/>
    <w:qFormat/>
    <w:pPr>
      <w:suppressLineNumbers/>
    </w:pPr>
    <w:rPr>
      <w:rFonts w:cs="Droid Sans Devanagari"/>
    </w:rPr>
  </w:style>
  <w:style w:type="paragraph" w:styleId="111111111111111111211111111111111111111111111111111111111">
    <w:name w:val="Заголовок1111111111111111112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1111112">
    <w:name w:val="Указатель11111111111111111121111111111111111111111111111111111111"/>
    <w:basedOn w:val="Normal"/>
    <w:qFormat/>
    <w:pPr>
      <w:suppressLineNumbers/>
    </w:pPr>
    <w:rPr>
      <w:rFonts w:cs="Droid Sans Devanagari"/>
    </w:rPr>
  </w:style>
  <w:style w:type="paragraph" w:styleId="1111111111111111112111111111111111111111111111111111111111">
    <w:name w:val="Заголовок1111111111111111112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11111112">
    <w:name w:val="Указатель111111111111111111211111111111111111111111111111111111111"/>
    <w:basedOn w:val="Normal"/>
    <w:qFormat/>
    <w:pPr>
      <w:suppressLineNumbers/>
    </w:pPr>
    <w:rPr>
      <w:rFonts w:cs="Droid Sans Devanagari"/>
    </w:rPr>
  </w:style>
  <w:style w:type="paragraph" w:styleId="11111111111111111121111111111111111111111111111111111111111">
    <w:name w:val="Заголовок1111111111111111112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111111112">
    <w:name w:val="Указатель1111111111111111112111111111111111111111111111111111111111"/>
    <w:basedOn w:val="Normal"/>
    <w:qFormat/>
    <w:pPr>
      <w:suppressLineNumbers/>
    </w:pPr>
    <w:rPr>
      <w:rFonts w:cs="Droid Sans Devanagari"/>
    </w:rPr>
  </w:style>
  <w:style w:type="paragraph" w:styleId="111111111111111111211111111111111111111111111111111111111111">
    <w:name w:val="Заголовок1111111111111111112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1111111112">
    <w:name w:val="Указатель11111111111111111121111111111111111111111111111111111111111"/>
    <w:basedOn w:val="Normal"/>
    <w:qFormat/>
    <w:pPr>
      <w:suppressLineNumbers/>
    </w:pPr>
    <w:rPr>
      <w:rFonts w:cs="Droid Sans Devanagari"/>
    </w:rPr>
  </w:style>
  <w:style w:type="paragraph" w:styleId="1111111111111111112111111111111111111111111111111111111111111">
    <w:name w:val="Заголовок1111111111111111112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11111111112">
    <w:name w:val="Указатель111111111111111111211111111111111111111111111111111111111111"/>
    <w:basedOn w:val="Normal"/>
    <w:qFormat/>
    <w:pPr>
      <w:suppressLineNumbers/>
    </w:pPr>
    <w:rPr>
      <w:rFonts w:cs="Droid Sans Devanagari"/>
    </w:rPr>
  </w:style>
  <w:style w:type="paragraph" w:styleId="11111111111111111121111111111111111111111111111111111111111111">
    <w:name w:val="Заголовок1111111111111111112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111111111112">
    <w:name w:val="Указатель1111111111111111112111111111111111111111111111111111111111111"/>
    <w:basedOn w:val="Normal"/>
    <w:qFormat/>
    <w:pPr>
      <w:suppressLineNumbers/>
    </w:pPr>
    <w:rPr>
      <w:rFonts w:cs="Droid Sans Devanagari"/>
    </w:rPr>
  </w:style>
  <w:style w:type="paragraph" w:styleId="111111111111111111211111111111111111111111111111111111111111111">
    <w:name w:val="Заголовок1111111111111111112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1111111111112">
    <w:name w:val="Указатель11111111111111111121111111111111111111111111111111111111111111"/>
    <w:basedOn w:val="Normal"/>
    <w:qFormat/>
    <w:pPr>
      <w:suppressLineNumbers/>
    </w:pPr>
    <w:rPr>
      <w:rFonts w:cs="Droid Sans Devanagari"/>
    </w:rPr>
  </w:style>
  <w:style w:type="paragraph" w:styleId="1111111111111111112111111111111111111111111111111111111111111111">
    <w:name w:val="Заголовок1111111111111111112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11111111111112">
    <w:name w:val="Указатель111111111111111111211111111111111111111111111111111111111111111"/>
    <w:basedOn w:val="Normal"/>
    <w:qFormat/>
    <w:pPr>
      <w:suppressLineNumbers/>
    </w:pPr>
    <w:rPr>
      <w:rFonts w:cs="Droid Sans Devanagari"/>
    </w:rPr>
  </w:style>
  <w:style w:type="paragraph" w:styleId="11111111111111111121111111111111111111111111111111111111111111111">
    <w:name w:val="Заголовок1111111111111111112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111111111111112">
    <w:name w:val="Указатель1111111111111111112111111111111111111111111111111111111111111111"/>
    <w:basedOn w:val="Normal"/>
    <w:qFormat/>
    <w:pPr>
      <w:suppressLineNumbers/>
    </w:pPr>
    <w:rPr>
      <w:rFonts w:cs="Droid Sans Devanagari"/>
    </w:rPr>
  </w:style>
  <w:style w:type="paragraph" w:styleId="111111111111111111211111111111111111111111111111111111111111111111">
    <w:name w:val="Заголовок11111111111111111121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1111111111111112">
    <w:name w:val="Указатель11111111111111111121111111111111111111111111111111111111111111111"/>
    <w:basedOn w:val="Normal"/>
    <w:qFormat/>
    <w:pPr>
      <w:suppressLineNumbers/>
    </w:pPr>
    <w:rPr>
      <w:rFonts w:cs="Droid Sans Devanagari"/>
    </w:rPr>
  </w:style>
  <w:style w:type="paragraph" w:styleId="1111111111111111112111111111111111111111111111111111111111111111111">
    <w:name w:val="Заголовок111111111111111111211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11111111111111112">
    <w:name w:val="Указатель111111111111111111211111111111111111111111111111111111111111111111"/>
    <w:basedOn w:val="Normal"/>
    <w:qFormat/>
    <w:pPr>
      <w:suppressLineNumbers/>
    </w:pPr>
    <w:rPr>
      <w:rFonts w:cs="Droid Sans Devanagari"/>
    </w:rPr>
  </w:style>
  <w:style w:type="paragraph" w:styleId="11111111111111111121111111111111111111111111111111111111111111111111">
    <w:name w:val="Заголовок1111111111111111112111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111111111111111112">
    <w:name w:val="Указатель1111111111111111112111111111111111111111111111111111111111111111111"/>
    <w:basedOn w:val="Normal"/>
    <w:qFormat/>
    <w:pPr>
      <w:suppressLineNumbers/>
    </w:pPr>
    <w:rPr>
      <w:rFonts w:cs="Droid Sans Devanagari"/>
    </w:rPr>
  </w:style>
  <w:style w:type="paragraph" w:styleId="111111111111111111211111111111111111111111111111111111111111111111111">
    <w:name w:val="Заголовок11111111111111111121111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1111111111111111112">
    <w:name w:val="Указатель11111111111111111121111111111111111111111111111111111111111111111111"/>
    <w:basedOn w:val="Normal"/>
    <w:qFormat/>
    <w:pPr>
      <w:suppressLineNumbers/>
    </w:pPr>
    <w:rPr>
      <w:rFonts w:cs="Droid Sans Devanagari"/>
    </w:rPr>
  </w:style>
  <w:style w:type="paragraph" w:styleId="1111111111111111112111111111111111111111111111111111111111111111111111">
    <w:name w:val="Заголовок111111111111111111211111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11111111111111111112">
    <w:name w:val="Указатель111111111111111111211111111111111111111111111111111111111111111111111"/>
    <w:basedOn w:val="Normal"/>
    <w:qFormat/>
    <w:pPr>
      <w:suppressLineNumbers/>
    </w:pPr>
    <w:rPr>
      <w:rFonts w:cs="Droid Sans Devanagari"/>
    </w:rPr>
  </w:style>
  <w:style w:type="paragraph" w:styleId="11111111111111111121111111111111111111111111111111111111111111111111111">
    <w:name w:val="Заголовок1111111111111111112111111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111111111111111111112">
    <w:name w:val="Указатель1111111111111111112111111111111111111111111111111111111111111111111111"/>
    <w:basedOn w:val="Normal"/>
    <w:qFormat/>
    <w:pPr>
      <w:suppressLineNumbers/>
    </w:pPr>
    <w:rPr>
      <w:rFonts w:cs="Droid Sans Devanagari"/>
    </w:rPr>
  </w:style>
  <w:style w:type="paragraph" w:styleId="111111111111111111211111111111111111111111111111111111111111111111111111">
    <w:name w:val="Заголовок11111111111111111121111111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1111111111111111111112">
    <w:name w:val="Указатель11111111111111111121111111111111111111111111111111111111111111111111111"/>
    <w:basedOn w:val="Normal"/>
    <w:qFormat/>
    <w:pPr>
      <w:suppressLineNumbers/>
    </w:pPr>
    <w:rPr>
      <w:rFonts w:cs="Droid Sans Devanagari"/>
    </w:rPr>
  </w:style>
  <w:style w:type="paragraph" w:styleId="1111111111111111112111111111111111111111111111111111111111111111111111111">
    <w:name w:val="Заголовок111111111111111111211111111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11111111111111111111112">
    <w:name w:val="Указатель111111111111111111211111111111111111111111111111111111111111111111111111"/>
    <w:basedOn w:val="Normal"/>
    <w:qFormat/>
    <w:pPr>
      <w:suppressLineNumbers/>
    </w:pPr>
    <w:rPr>
      <w:rFonts w:cs="Droid Sans Devanagari"/>
    </w:rPr>
  </w:style>
  <w:style w:type="paragraph" w:styleId="11111111111111111121111111111111111111111111111111111111111111111111111111">
    <w:name w:val="Заголовок1111111111111111112111111111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111111111111111111111112">
    <w:name w:val="Указатель1111111111111111112111111111111111111111111111111111111111111111111111111"/>
    <w:basedOn w:val="Normal"/>
    <w:qFormat/>
    <w:pPr>
      <w:suppressLineNumbers/>
    </w:pPr>
    <w:rPr>
      <w:rFonts w:cs="Droid Sans Devanagari"/>
    </w:rPr>
  </w:style>
  <w:style w:type="paragraph" w:styleId="111111111111111111211111111111111111111111111111111111111111111111111111111">
    <w:name w:val="Заголовок11111111111111111121111111111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1111111111111111111111112">
    <w:name w:val="Указатель11111111111111111121111111111111111111111111111111111111111111111111111111"/>
    <w:basedOn w:val="Normal"/>
    <w:qFormat/>
    <w:pPr>
      <w:suppressLineNumbers/>
    </w:pPr>
    <w:rPr>
      <w:rFonts w:cs="Droid Sans Devanagari"/>
    </w:rPr>
  </w:style>
  <w:style w:type="paragraph" w:styleId="1111111111111111112111111111111111111111111111111111111111111111111111111111">
    <w:name w:val="Заголовок111111111111111111211111111111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11111111111111111111111112">
    <w:name w:val="Указатель111111111111111111211111111111111111111111111111111111111111111111111111111"/>
    <w:basedOn w:val="Normal"/>
    <w:qFormat/>
    <w:pPr>
      <w:suppressLineNumbers/>
    </w:pPr>
    <w:rPr>
      <w:rFonts w:cs="Droid Sans Devanagari"/>
    </w:rPr>
  </w:style>
  <w:style w:type="paragraph" w:styleId="11111111111111111121111111111111111111111111111111111111111111111111111111111">
    <w:name w:val="Заголовок1111111111111111112111111111111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111111111111111111111111112">
    <w:name w:val="Указатель1111111111111111112111111111111111111111111111111111111111111111111111111111"/>
    <w:basedOn w:val="Normal"/>
    <w:qFormat/>
    <w:pPr>
      <w:suppressLineNumbers/>
    </w:pPr>
    <w:rPr>
      <w:rFonts w:cs="Droid Sans Devanagari"/>
    </w:rPr>
  </w:style>
  <w:style w:type="paragraph" w:styleId="111111111111111111211111111111111111111111111111111111111111111111111111111111">
    <w:name w:val="Заголовок11111111111111111121111111111111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1111111111111111111111111112">
    <w:name w:val="Указатель11111111111111111121111111111111111111111111111111111111111111111111111111111"/>
    <w:basedOn w:val="Normal"/>
    <w:qFormat/>
    <w:pPr>
      <w:suppressLineNumbers/>
    </w:pPr>
    <w:rPr>
      <w:rFonts w:cs="Droid Sans Devanagari"/>
    </w:rPr>
  </w:style>
  <w:style w:type="paragraph" w:styleId="1111111111111111112111111111111111111111111111111111111111111111111111111111111">
    <w:name w:val="Заголовок111111111111111111211111111111111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11111111111111111111111111112">
    <w:name w:val="Указатель111111111111111111211111111111111111111111111111111111111111111111111111111111"/>
    <w:basedOn w:val="Normal"/>
    <w:qFormat/>
    <w:pPr>
      <w:suppressLineNumbers/>
    </w:pPr>
    <w:rPr>
      <w:rFonts w:cs="Droid Sans Devanagari"/>
    </w:rPr>
  </w:style>
  <w:style w:type="paragraph" w:styleId="11111111111111111121111111111111111111111111111111111111111111111111111111111111">
    <w:name w:val="Заголовок1111111111111111112111111111111111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111111111111111111111111111112">
    <w:name w:val="Указатель1111111111111111112111111111111111111111111111111111111111111111111111111111111"/>
    <w:basedOn w:val="Normal"/>
    <w:qFormat/>
    <w:pPr>
      <w:suppressLineNumbers/>
    </w:pPr>
    <w:rPr>
      <w:rFonts w:cs="Droid Sans Devanagari"/>
    </w:rPr>
  </w:style>
  <w:style w:type="paragraph" w:styleId="111111111111111111211111111111111111111111111111111111111111111111111111111111111">
    <w:name w:val="Заголовок11111111111111111121111111111111111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1111111111111111111111111111112">
    <w:name w:val="Указатель11111111111111111121111111111111111111111111111111111111111111111111111111111111"/>
    <w:basedOn w:val="Normal"/>
    <w:qFormat/>
    <w:pPr>
      <w:suppressLineNumbers/>
    </w:pPr>
    <w:rPr>
      <w:rFonts w:cs="Droid Sans Devanagari"/>
    </w:rPr>
  </w:style>
  <w:style w:type="paragraph" w:styleId="1111111111111111112111111111111111111111111111111111111111111111111111111111111111">
    <w:name w:val="Заголовок111111111111111111211111111111111111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11111111111111111111111111111112">
    <w:name w:val="Указатель111111111111111111211111111111111111111111111111111111111111111111111111111111111"/>
    <w:basedOn w:val="Normal"/>
    <w:qFormat/>
    <w:pPr>
      <w:suppressLineNumbers/>
    </w:pPr>
    <w:rPr>
      <w:rFonts w:cs="Droid Sans Devanagari"/>
    </w:rPr>
  </w:style>
  <w:style w:type="paragraph" w:styleId="11111111111111111121111111111111111111111111111111111111111111111111111111111111111">
    <w:name w:val="Заголовок1111111111111111112111111111111111111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111111111111111111111111111111112">
    <w:name w:val="Указатель1111111111111111112111111111111111111111111111111111111111111111111111111111111111"/>
    <w:basedOn w:val="Normal"/>
    <w:qFormat/>
    <w:pPr>
      <w:suppressLineNumbers/>
    </w:pPr>
    <w:rPr>
      <w:rFonts w:cs="Droid Sans Devanagari"/>
    </w:rPr>
  </w:style>
  <w:style w:type="paragraph" w:styleId="111111111111111111211111111111111111111111111111111111111111111111111111111111111111">
    <w:name w:val="Заголовок11111111111111111121111111111111111111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211111111111111111111111111111111111111111111111111111111111111112">
    <w:name w:val="Указатель11111111111111111121111111111111111111111111111111111111111111111111111111111111111"/>
    <w:basedOn w:val="Normal"/>
    <w:qFormat/>
    <w:pPr>
      <w:suppressLineNumbers/>
    </w:pPr>
    <w:rPr>
      <w:rFonts w:cs="Droid Sans Devanagari"/>
    </w:rPr>
  </w:style>
  <w:style w:type="paragraph" w:styleId="1111111111111111112111111111111111111111111111111111111111111111111111111111111111111">
    <w:name w:val="Заголовок111111111111111111211111111111111111111111111111111111111111111111111111111111111111"/>
    <w:basedOn w:val="Normal"/>
    <w:next w:val="BodyText"/>
    <w:link w:val="Style13"/>
    <w:qFormat/>
    <w:pPr>
      <w:keepNext w:val="true"/>
      <w:spacing w:before="240" w:after="120"/>
    </w:pPr>
    <w:rPr>
      <w:rFonts w:ascii="Liberation Sans" w:hAnsi="Liberation Sans"/>
      <w:sz w:val="28"/>
    </w:rPr>
  </w:style>
  <w:style w:type="paragraph" w:styleId="1111111111111111112111111111111111111111111111111111111111111111111111111111111111112">
    <w:name w:val="Указатель111111111111111111211111111111111111111111111111111111111111111111111111111111111111"/>
    <w:basedOn w:val="Normal"/>
    <w:link w:val="Style9"/>
    <w:qFormat/>
    <w:pPr/>
    <w:rPr/>
  </w:style>
  <w:style w:type="paragraph" w:styleId="111111111111111111111">
    <w:name w:val="Заголовок11111111111111111111"/>
    <w:basedOn w:val="Normal"/>
    <w:next w:val="BodyText"/>
    <w:link w:val="1111111111111111111"/>
    <w:qFormat/>
    <w:pPr>
      <w:keepNext w:val="true"/>
      <w:spacing w:before="240" w:after="120"/>
    </w:pPr>
    <w:rPr>
      <w:rFonts w:ascii="Liberation Sans" w:hAnsi="Liberation Sans"/>
      <w:sz w:val="28"/>
    </w:rPr>
  </w:style>
  <w:style w:type="paragraph" w:styleId="1212">
    <w:name w:val="Указатель121"/>
    <w:basedOn w:val="Normal"/>
    <w:link w:val="12"/>
    <w:qFormat/>
    <w:pPr/>
    <w:rPr/>
  </w:style>
  <w:style w:type="paragraph" w:styleId="BodyText2111">
    <w:name w:val="Body Text 2111"/>
    <w:basedOn w:val="Normal"/>
    <w:link w:val="BodyText211"/>
    <w:qFormat/>
    <w:pPr>
      <w:tabs>
        <w:tab w:val="clear" w:pos="709"/>
        <w:tab w:val="left" w:pos="284" w:leader="none"/>
      </w:tabs>
      <w:ind w:hanging="284" w:left="284"/>
      <w:jc w:val="both"/>
    </w:pPr>
    <w:rPr/>
  </w:style>
  <w:style w:type="paragraph" w:styleId="11211">
    <w:name w:val="Указатель1121"/>
    <w:basedOn w:val="Normal"/>
    <w:link w:val="112"/>
    <w:qFormat/>
    <w:pPr/>
    <w:rPr/>
  </w:style>
  <w:style w:type="paragraph" w:styleId="TOC2">
    <w:name w:val="TOC 2"/>
    <w:next w:val="Normal"/>
    <w:uiPriority w:val="39"/>
    <w:pPr>
      <w:widowControl/>
      <w:suppressAutoHyphens w:val="true"/>
      <w:bidi w:val="0"/>
      <w:spacing w:lineRule="auto" w:line="240" w:before="0" w:after="0"/>
      <w:ind w:hanging="0" w:left="200" w:right="0"/>
      <w:jc w:val="left"/>
    </w:pPr>
    <w:rPr>
      <w:rFonts w:ascii="XO Thames" w:hAnsi="XO Thames" w:eastAsia="Droid Sans Fallback" w:cs="Droid Sans Devanagari"/>
      <w:color w:val="000000"/>
      <w:spacing w:val="0"/>
      <w:kern w:val="0"/>
      <w:sz w:val="28"/>
      <w:szCs w:val="20"/>
      <w:lang w:val="ru-RU" w:eastAsia="zh-CN" w:bidi="hi-IN"/>
    </w:rPr>
  </w:style>
  <w:style w:type="paragraph" w:styleId="111111211">
    <w:name w:val="Указатель11111121"/>
    <w:basedOn w:val="Normal"/>
    <w:link w:val="1111112"/>
    <w:qFormat/>
    <w:pPr/>
    <w:rPr/>
  </w:style>
  <w:style w:type="paragraph" w:styleId="Textbodyindent11">
    <w:name w:val="Text body indent11"/>
    <w:link w:val="Textbodyindent1"/>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1111111111111111211">
    <w:name w:val="Указатель111111111111111121"/>
    <w:basedOn w:val="Normal"/>
    <w:link w:val="11111111111111112"/>
    <w:qFormat/>
    <w:pPr/>
    <w:rPr/>
  </w:style>
  <w:style w:type="paragraph" w:styleId="Heading1121">
    <w:name w:val="Heading 1121"/>
    <w:link w:val="Heading112"/>
    <w:qFormat/>
    <w:pPr>
      <w:widowControl/>
      <w:suppressAutoHyphens w:val="true"/>
      <w:bidi w:val="0"/>
      <w:spacing w:lineRule="auto" w:line="240" w:before="0" w:after="0"/>
      <w:ind w:hanging="0" w:left="0" w:right="0"/>
      <w:jc w:val="left"/>
    </w:pPr>
    <w:rPr>
      <w:rFonts w:ascii="Arial" w:hAnsi="Arial" w:eastAsia="Droid Sans Fallback" w:cs="Droid Sans Devanagari"/>
      <w:b/>
      <w:color w:val="000000"/>
      <w:spacing w:val="0"/>
      <w:kern w:val="0"/>
      <w:sz w:val="32"/>
      <w:szCs w:val="20"/>
      <w:lang w:val="ru-RU" w:eastAsia="zh-CN" w:bidi="hi-IN"/>
    </w:rPr>
  </w:style>
  <w:style w:type="paragraph" w:styleId="11111111111111211">
    <w:name w:val="Указатель1111111111111121"/>
    <w:basedOn w:val="Normal"/>
    <w:link w:val="111111111111112"/>
    <w:qFormat/>
    <w:pPr/>
    <w:rPr/>
  </w:style>
  <w:style w:type="paragraph" w:styleId="TOC4">
    <w:name w:val="TOC 4"/>
    <w:next w:val="Normal"/>
    <w:uiPriority w:val="39"/>
    <w:pPr>
      <w:widowControl/>
      <w:suppressAutoHyphens w:val="true"/>
      <w:bidi w:val="0"/>
      <w:spacing w:lineRule="auto" w:line="240" w:before="0" w:after="0"/>
      <w:ind w:hanging="0" w:left="600" w:right="0"/>
      <w:jc w:val="left"/>
    </w:pPr>
    <w:rPr>
      <w:rFonts w:ascii="XO Thames" w:hAnsi="XO Thames" w:eastAsia="Droid Sans Fallback" w:cs="Droid Sans Devanagari"/>
      <w:color w:val="000000"/>
      <w:spacing w:val="0"/>
      <w:kern w:val="0"/>
      <w:sz w:val="28"/>
      <w:szCs w:val="20"/>
      <w:lang w:val="ru-RU" w:eastAsia="zh-CN" w:bidi="hi-IN"/>
    </w:rPr>
  </w:style>
  <w:style w:type="paragraph" w:styleId="NormalWeb111">
    <w:name w:val="Normal (Web)111"/>
    <w:basedOn w:val="Normal"/>
    <w:link w:val="NormalWeb11"/>
    <w:qFormat/>
    <w:pPr>
      <w:spacing w:beforeAutospacing="1" w:afterAutospacing="1"/>
    </w:pPr>
    <w:rPr/>
  </w:style>
  <w:style w:type="paragraph" w:styleId="11111111111211">
    <w:name w:val="Заголовок1111111111121"/>
    <w:basedOn w:val="Normal"/>
    <w:next w:val="BodyText"/>
    <w:link w:val="111111111112"/>
    <w:qFormat/>
    <w:pPr>
      <w:keepNext w:val="true"/>
      <w:spacing w:before="240" w:after="120"/>
    </w:pPr>
    <w:rPr>
      <w:rFonts w:ascii="Liberation Sans" w:hAnsi="Liberation Sans"/>
      <w:sz w:val="28"/>
    </w:rPr>
  </w:style>
  <w:style w:type="paragraph" w:styleId="TOC6">
    <w:name w:val="TOC 6"/>
    <w:next w:val="Normal"/>
    <w:uiPriority w:val="39"/>
    <w:pPr>
      <w:widowControl/>
      <w:suppressAutoHyphens w:val="true"/>
      <w:bidi w:val="0"/>
      <w:spacing w:lineRule="auto" w:line="240" w:before="0" w:after="0"/>
      <w:ind w:hanging="0" w:left="1000" w:right="0"/>
      <w:jc w:val="left"/>
    </w:pPr>
    <w:rPr>
      <w:rFonts w:ascii="XO Thames" w:hAnsi="XO Thames" w:eastAsia="Droid Sans Fallback" w:cs="Droid Sans Devanagari"/>
      <w:color w:val="000000"/>
      <w:spacing w:val="0"/>
      <w:kern w:val="0"/>
      <w:sz w:val="28"/>
      <w:szCs w:val="20"/>
      <w:lang w:val="ru-RU" w:eastAsia="zh-CN" w:bidi="hi-IN"/>
    </w:rPr>
  </w:style>
  <w:style w:type="paragraph" w:styleId="14">
    <w:name w:val="Колонтитул1"/>
    <w:link w:val="Style11"/>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2">
    <w:name w:val="Колонтитул2"/>
    <w:basedOn w:val="Normal"/>
    <w:qFormat/>
    <w:pPr/>
    <w:rPr/>
  </w:style>
  <w:style w:type="paragraph" w:styleId="3">
    <w:name w:val="Колонтитул3"/>
    <w:basedOn w:val="Normal"/>
    <w:qFormat/>
    <w:pPr/>
    <w:rPr/>
  </w:style>
  <w:style w:type="paragraph" w:styleId="4">
    <w:name w:val="Колонтитул4"/>
    <w:basedOn w:val="Normal"/>
    <w:qFormat/>
    <w:pPr/>
    <w:rPr/>
  </w:style>
  <w:style w:type="paragraph" w:styleId="5">
    <w:name w:val="Колонтитул5"/>
    <w:basedOn w:val="Normal"/>
    <w:qFormat/>
    <w:pPr/>
    <w:rPr/>
  </w:style>
  <w:style w:type="paragraph" w:styleId="6">
    <w:name w:val="Колонтитул6"/>
    <w:basedOn w:val="Normal"/>
    <w:qFormat/>
    <w:pPr/>
    <w:rPr/>
  </w:style>
  <w:style w:type="paragraph" w:styleId="7">
    <w:name w:val="Колонтитул7"/>
    <w:basedOn w:val="Normal"/>
    <w:qFormat/>
    <w:pPr/>
    <w:rPr/>
  </w:style>
  <w:style w:type="paragraph" w:styleId="8">
    <w:name w:val="Колонтитул8"/>
    <w:basedOn w:val="Normal"/>
    <w:qFormat/>
    <w:pPr/>
    <w:rPr/>
  </w:style>
  <w:style w:type="paragraph" w:styleId="9">
    <w:name w:val="Колонтитул9"/>
    <w:basedOn w:val="Normal"/>
    <w:qFormat/>
    <w:pPr/>
    <w:rPr/>
  </w:style>
  <w:style w:type="paragraph" w:styleId="10">
    <w:name w:val="Колонтитул10"/>
    <w:basedOn w:val="Normal"/>
    <w:qFormat/>
    <w:pPr/>
    <w:rPr/>
  </w:style>
  <w:style w:type="paragraph" w:styleId="1119">
    <w:name w:val="Колонтитул11"/>
    <w:basedOn w:val="Normal"/>
    <w:qFormat/>
    <w:pPr/>
    <w:rPr/>
  </w:style>
  <w:style w:type="paragraph" w:styleId="122">
    <w:name w:val="Колонтитул12"/>
    <w:basedOn w:val="Normal"/>
    <w:qFormat/>
    <w:pPr/>
    <w:rPr/>
  </w:style>
  <w:style w:type="paragraph" w:styleId="132">
    <w:name w:val="Колонтитул13"/>
    <w:basedOn w:val="Normal"/>
    <w:qFormat/>
    <w:pPr/>
    <w:rPr/>
  </w:style>
  <w:style w:type="paragraph" w:styleId="142">
    <w:name w:val="Колонтитул14"/>
    <w:basedOn w:val="Normal"/>
    <w:qFormat/>
    <w:pPr/>
    <w:rPr/>
  </w:style>
  <w:style w:type="paragraph" w:styleId="15">
    <w:name w:val="Колонтитул15"/>
    <w:basedOn w:val="Normal"/>
    <w:qFormat/>
    <w:pPr/>
    <w:rPr/>
  </w:style>
  <w:style w:type="paragraph" w:styleId="16">
    <w:name w:val="Колонтитул16"/>
    <w:basedOn w:val="Normal"/>
    <w:qFormat/>
    <w:pPr/>
    <w:rPr/>
  </w:style>
  <w:style w:type="paragraph" w:styleId="17">
    <w:name w:val="Колонтитул17"/>
    <w:basedOn w:val="Normal"/>
    <w:qFormat/>
    <w:pPr/>
    <w:rPr/>
  </w:style>
  <w:style w:type="paragraph" w:styleId="18">
    <w:name w:val="Колонтитул18"/>
    <w:basedOn w:val="Normal"/>
    <w:qFormat/>
    <w:pPr/>
    <w:rPr/>
  </w:style>
  <w:style w:type="paragraph" w:styleId="20">
    <w:name w:val="Колонтитул20"/>
    <w:basedOn w:val="Normal"/>
    <w:qFormat/>
    <w:pPr/>
    <w:rPr/>
  </w:style>
  <w:style w:type="paragraph" w:styleId="22">
    <w:name w:val="Колонтитул22"/>
    <w:basedOn w:val="Normal"/>
    <w:qFormat/>
    <w:pPr/>
    <w:rPr/>
  </w:style>
  <w:style w:type="paragraph" w:styleId="23">
    <w:name w:val="Колонтитул23"/>
    <w:basedOn w:val="Normal"/>
    <w:qFormat/>
    <w:pPr/>
    <w:rPr/>
  </w:style>
  <w:style w:type="paragraph" w:styleId="24">
    <w:name w:val="Колонтитул24"/>
    <w:basedOn w:val="Normal"/>
    <w:qFormat/>
    <w:pPr/>
    <w:rPr/>
  </w:style>
  <w:style w:type="paragraph" w:styleId="25">
    <w:name w:val="Колонтитул25"/>
    <w:basedOn w:val="Normal"/>
    <w:qFormat/>
    <w:pPr/>
    <w:rPr/>
  </w:style>
  <w:style w:type="paragraph" w:styleId="26">
    <w:name w:val="Колонтитул26"/>
    <w:basedOn w:val="Normal"/>
    <w:qFormat/>
    <w:pPr/>
    <w:rPr/>
  </w:style>
  <w:style w:type="paragraph" w:styleId="27">
    <w:name w:val="Колонтитул27"/>
    <w:basedOn w:val="Normal"/>
    <w:qFormat/>
    <w:pPr/>
    <w:rPr/>
  </w:style>
  <w:style w:type="paragraph" w:styleId="28">
    <w:name w:val="Колонтитул28"/>
    <w:basedOn w:val="Normal"/>
    <w:qFormat/>
    <w:pPr/>
    <w:rPr/>
  </w:style>
  <w:style w:type="paragraph" w:styleId="29">
    <w:name w:val="Колонтитул29"/>
    <w:basedOn w:val="Normal"/>
    <w:qFormat/>
    <w:pPr/>
    <w:rPr/>
  </w:style>
  <w:style w:type="paragraph" w:styleId="30">
    <w:name w:val="Колонтитул30"/>
    <w:basedOn w:val="Normal"/>
    <w:qFormat/>
    <w:pPr/>
    <w:rPr/>
  </w:style>
  <w:style w:type="paragraph" w:styleId="32">
    <w:name w:val="Колонтитул32"/>
    <w:basedOn w:val="Normal"/>
    <w:qFormat/>
    <w:pPr/>
    <w:rPr/>
  </w:style>
  <w:style w:type="paragraph" w:styleId="33">
    <w:name w:val="Колонтитул33"/>
    <w:basedOn w:val="Normal"/>
    <w:qFormat/>
    <w:pPr/>
    <w:rPr/>
  </w:style>
  <w:style w:type="paragraph" w:styleId="34">
    <w:name w:val="Колонтитул34"/>
    <w:basedOn w:val="Normal"/>
    <w:qFormat/>
    <w:pPr/>
    <w:rPr/>
  </w:style>
  <w:style w:type="paragraph" w:styleId="35">
    <w:name w:val="Колонтитул35"/>
    <w:basedOn w:val="Normal"/>
    <w:qFormat/>
    <w:pPr/>
    <w:rPr/>
  </w:style>
  <w:style w:type="paragraph" w:styleId="36">
    <w:name w:val="Колонтитул36"/>
    <w:basedOn w:val="Normal"/>
    <w:qFormat/>
    <w:pPr/>
    <w:rPr/>
  </w:style>
  <w:style w:type="paragraph" w:styleId="37">
    <w:name w:val="Колонтитул37"/>
    <w:basedOn w:val="Normal"/>
    <w:qFormat/>
    <w:pPr/>
    <w:rPr/>
  </w:style>
  <w:style w:type="paragraph" w:styleId="38">
    <w:name w:val="Колонтитул38"/>
    <w:basedOn w:val="Normal"/>
    <w:qFormat/>
    <w:pPr/>
    <w:rPr/>
  </w:style>
  <w:style w:type="paragraph" w:styleId="39">
    <w:name w:val="Колонтитул39"/>
    <w:basedOn w:val="Normal"/>
    <w:qFormat/>
    <w:pPr/>
    <w:rPr/>
  </w:style>
  <w:style w:type="paragraph" w:styleId="40">
    <w:name w:val="Колонтитул40"/>
    <w:basedOn w:val="Normal"/>
    <w:qFormat/>
    <w:pPr/>
    <w:rPr/>
  </w:style>
  <w:style w:type="paragraph" w:styleId="42">
    <w:name w:val="Колонтитул42"/>
    <w:basedOn w:val="Normal"/>
    <w:qFormat/>
    <w:pPr/>
    <w:rPr/>
  </w:style>
  <w:style w:type="paragraph" w:styleId="43">
    <w:name w:val="Колонтитул43"/>
    <w:basedOn w:val="Normal"/>
    <w:qFormat/>
    <w:pPr/>
    <w:rPr/>
  </w:style>
  <w:style w:type="paragraph" w:styleId="44">
    <w:name w:val="Колонтитул44"/>
    <w:basedOn w:val="Normal"/>
    <w:qFormat/>
    <w:pPr/>
    <w:rPr/>
  </w:style>
  <w:style w:type="paragraph" w:styleId="45">
    <w:name w:val="Колонтитул45"/>
    <w:basedOn w:val="Normal"/>
    <w:qFormat/>
    <w:pPr/>
    <w:rPr/>
  </w:style>
  <w:style w:type="paragraph" w:styleId="46">
    <w:name w:val="Колонтитул46"/>
    <w:basedOn w:val="Normal"/>
    <w:qFormat/>
    <w:pPr/>
    <w:rPr/>
  </w:style>
  <w:style w:type="paragraph" w:styleId="47">
    <w:name w:val="Колонтитул47"/>
    <w:basedOn w:val="Normal"/>
    <w:qFormat/>
    <w:pPr/>
    <w:rPr/>
  </w:style>
  <w:style w:type="paragraph" w:styleId="48">
    <w:name w:val="Колонтитул48"/>
    <w:basedOn w:val="Normal"/>
    <w:qFormat/>
    <w:pPr/>
    <w:rPr/>
  </w:style>
  <w:style w:type="paragraph" w:styleId="49">
    <w:name w:val="Колонтитул49"/>
    <w:basedOn w:val="Normal"/>
    <w:qFormat/>
    <w:pPr/>
    <w:rPr/>
  </w:style>
  <w:style w:type="paragraph" w:styleId="50">
    <w:name w:val="Колонтитул50"/>
    <w:basedOn w:val="Normal"/>
    <w:qFormat/>
    <w:pPr/>
    <w:rPr/>
  </w:style>
  <w:style w:type="paragraph" w:styleId="52">
    <w:name w:val="Колонтитул52"/>
    <w:basedOn w:val="Normal"/>
    <w:qFormat/>
    <w:pPr/>
    <w:rPr/>
  </w:style>
  <w:style w:type="paragraph" w:styleId="53">
    <w:name w:val="Колонтитул53"/>
    <w:basedOn w:val="Normal"/>
    <w:qFormat/>
    <w:pPr/>
    <w:rPr/>
  </w:style>
  <w:style w:type="paragraph" w:styleId="54">
    <w:name w:val="Колонтитул54"/>
    <w:basedOn w:val="Normal"/>
    <w:qFormat/>
    <w:pPr/>
    <w:rPr/>
  </w:style>
  <w:style w:type="paragraph" w:styleId="55">
    <w:name w:val="Колонтитул55"/>
    <w:basedOn w:val="Normal"/>
    <w:qFormat/>
    <w:pPr/>
    <w:rPr/>
  </w:style>
  <w:style w:type="paragraph" w:styleId="56">
    <w:name w:val="Колонтитул56"/>
    <w:basedOn w:val="Normal"/>
    <w:qFormat/>
    <w:pPr/>
    <w:rPr/>
  </w:style>
  <w:style w:type="paragraph" w:styleId="57">
    <w:name w:val="Колонтитул57"/>
    <w:basedOn w:val="Normal"/>
    <w:qFormat/>
    <w:pPr/>
    <w:rPr/>
  </w:style>
  <w:style w:type="paragraph" w:styleId="58">
    <w:name w:val="Колонтитул58"/>
    <w:basedOn w:val="Normal"/>
    <w:qFormat/>
    <w:pPr/>
    <w:rPr/>
  </w:style>
  <w:style w:type="paragraph" w:styleId="59">
    <w:name w:val="Колонтитул59"/>
    <w:basedOn w:val="Normal"/>
    <w:qFormat/>
    <w:pPr/>
    <w:rPr/>
  </w:style>
  <w:style w:type="paragraph" w:styleId="60">
    <w:name w:val="Колонтитул60"/>
    <w:basedOn w:val="Normal"/>
    <w:qFormat/>
    <w:pPr/>
    <w:rPr/>
  </w:style>
  <w:style w:type="paragraph" w:styleId="62">
    <w:name w:val="Колонтитул62"/>
    <w:basedOn w:val="Normal"/>
    <w:qFormat/>
    <w:pPr/>
    <w:rPr/>
  </w:style>
  <w:style w:type="paragraph" w:styleId="63">
    <w:name w:val="Колонтитул63"/>
    <w:basedOn w:val="Normal"/>
    <w:qFormat/>
    <w:pPr/>
    <w:rPr/>
  </w:style>
  <w:style w:type="paragraph" w:styleId="64">
    <w:name w:val="Колонтитул64"/>
    <w:basedOn w:val="Normal"/>
    <w:qFormat/>
    <w:pPr/>
    <w:rPr/>
  </w:style>
  <w:style w:type="paragraph" w:styleId="65">
    <w:name w:val="Колонтитул65"/>
    <w:basedOn w:val="Normal"/>
    <w:qFormat/>
    <w:pPr/>
    <w:rPr/>
  </w:style>
  <w:style w:type="paragraph" w:styleId="66">
    <w:name w:val="Колонтитул66"/>
    <w:basedOn w:val="Normal"/>
    <w:qFormat/>
    <w:pPr/>
    <w:rPr/>
  </w:style>
  <w:style w:type="paragraph" w:styleId="67">
    <w:name w:val="Колонтитул67"/>
    <w:basedOn w:val="Normal"/>
    <w:qFormat/>
    <w:pPr/>
    <w:rPr/>
  </w:style>
  <w:style w:type="paragraph" w:styleId="68">
    <w:name w:val="Колонтитул68"/>
    <w:basedOn w:val="Normal"/>
    <w:qFormat/>
    <w:pPr/>
    <w:rPr/>
  </w:style>
  <w:style w:type="paragraph" w:styleId="69">
    <w:name w:val="Колонтитул69"/>
    <w:basedOn w:val="Normal"/>
    <w:qFormat/>
    <w:pPr/>
    <w:rPr/>
  </w:style>
  <w:style w:type="paragraph" w:styleId="70">
    <w:name w:val="Колонтитул70"/>
    <w:basedOn w:val="Normal"/>
    <w:qFormat/>
    <w:pPr/>
    <w:rPr/>
  </w:style>
  <w:style w:type="paragraph" w:styleId="72">
    <w:name w:val="Колонтитул72"/>
    <w:basedOn w:val="Normal"/>
    <w:qFormat/>
    <w:pPr/>
    <w:rPr/>
  </w:style>
  <w:style w:type="paragraph" w:styleId="73">
    <w:name w:val="Колонтитул73"/>
    <w:basedOn w:val="Normal"/>
    <w:qFormat/>
    <w:pPr/>
    <w:rPr/>
  </w:style>
  <w:style w:type="paragraph" w:styleId="74">
    <w:name w:val="Колонтитул74"/>
    <w:basedOn w:val="Normal"/>
    <w:qFormat/>
    <w:pPr/>
    <w:rPr/>
  </w:style>
  <w:style w:type="paragraph" w:styleId="75">
    <w:name w:val="Колонтитул75"/>
    <w:basedOn w:val="Normal"/>
    <w:qFormat/>
    <w:pPr/>
    <w:rPr/>
  </w:style>
  <w:style w:type="paragraph" w:styleId="76">
    <w:name w:val="Колонтитул76"/>
    <w:basedOn w:val="Normal"/>
    <w:qFormat/>
    <w:pPr/>
    <w:rPr/>
  </w:style>
  <w:style w:type="paragraph" w:styleId="77">
    <w:name w:val="Колонтитул77"/>
    <w:basedOn w:val="Normal"/>
    <w:qFormat/>
    <w:pPr/>
    <w:rPr/>
  </w:style>
  <w:style w:type="paragraph" w:styleId="78">
    <w:name w:val="Колонтитул78"/>
    <w:basedOn w:val="Normal"/>
    <w:qFormat/>
    <w:pPr/>
    <w:rPr/>
  </w:style>
  <w:style w:type="paragraph" w:styleId="79">
    <w:name w:val="Колонтитул79"/>
    <w:basedOn w:val="Normal"/>
    <w:qFormat/>
    <w:pPr/>
    <w:rPr/>
  </w:style>
  <w:style w:type="paragraph" w:styleId="80">
    <w:name w:val="Колонтитул80"/>
    <w:basedOn w:val="Normal"/>
    <w:qFormat/>
    <w:pPr/>
    <w:rPr/>
  </w:style>
  <w:style w:type="paragraph" w:styleId="82">
    <w:name w:val="Колонтитул82"/>
    <w:basedOn w:val="Normal"/>
    <w:qFormat/>
    <w:pPr/>
    <w:rPr/>
  </w:style>
  <w:style w:type="paragraph" w:styleId="83">
    <w:name w:val="Колонтитул83"/>
    <w:basedOn w:val="Normal"/>
    <w:qFormat/>
    <w:pPr/>
    <w:rPr/>
  </w:style>
  <w:style w:type="paragraph" w:styleId="84">
    <w:name w:val="Колонтитул84"/>
    <w:basedOn w:val="Normal"/>
    <w:qFormat/>
    <w:pPr/>
    <w:rPr/>
  </w:style>
  <w:style w:type="paragraph" w:styleId="85">
    <w:name w:val="Колонтитул85"/>
    <w:basedOn w:val="Normal"/>
    <w:qFormat/>
    <w:pPr/>
    <w:rPr/>
  </w:style>
  <w:style w:type="paragraph" w:styleId="86">
    <w:name w:val="Колонтитул86"/>
    <w:basedOn w:val="Normal"/>
    <w:qFormat/>
    <w:pPr/>
    <w:rPr/>
  </w:style>
  <w:style w:type="paragraph" w:styleId="87">
    <w:name w:val="Колонтитул87"/>
    <w:basedOn w:val="Normal"/>
    <w:qFormat/>
    <w:pPr/>
    <w:rPr/>
  </w:style>
  <w:style w:type="paragraph" w:styleId="88">
    <w:name w:val="Колонтитул88"/>
    <w:basedOn w:val="Normal"/>
    <w:qFormat/>
    <w:pPr/>
    <w:rPr/>
  </w:style>
  <w:style w:type="paragraph" w:styleId="89">
    <w:name w:val="Колонтитул89"/>
    <w:basedOn w:val="Normal"/>
    <w:qFormat/>
    <w:pPr/>
    <w:rPr/>
  </w:style>
  <w:style w:type="paragraph" w:styleId="90">
    <w:name w:val="Колонтитул90"/>
    <w:basedOn w:val="Normal"/>
    <w:qFormat/>
    <w:pPr/>
    <w:rPr/>
  </w:style>
  <w:style w:type="paragraph" w:styleId="92">
    <w:name w:val="Колонтитул92"/>
    <w:basedOn w:val="Normal"/>
    <w:qFormat/>
    <w:pPr/>
    <w:rPr/>
  </w:style>
  <w:style w:type="paragraph" w:styleId="93">
    <w:name w:val="Колонтитул93"/>
    <w:basedOn w:val="Normal"/>
    <w:qFormat/>
    <w:pPr/>
    <w:rPr/>
  </w:style>
  <w:style w:type="paragraph" w:styleId="Footer">
    <w:name w:val="Footer"/>
    <w:basedOn w:val="Normal"/>
    <w:pPr>
      <w:tabs>
        <w:tab w:val="clear" w:pos="709"/>
        <w:tab w:val="center" w:pos="4677" w:leader="none"/>
        <w:tab w:val="right" w:pos="9355" w:leader="none"/>
      </w:tabs>
    </w:pPr>
    <w:rPr>
      <w:rFonts w:ascii="Calibri" w:hAnsi="Calibri" w:asciiTheme="minorAscii" w:hAnsiTheme="minorHAnsi"/>
      <w:sz w:val="22"/>
    </w:rPr>
  </w:style>
  <w:style w:type="paragraph" w:styleId="EndnoteSymbol11">
    <w:name w:val="Endnote Symbol11"/>
    <w:link w:val="EndnoteSymbol1"/>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2"/>
      <w:szCs w:val="20"/>
      <w:vertAlign w:val="superscript"/>
      <w:lang w:val="ru-RU" w:eastAsia="zh-CN" w:bidi="hi-IN"/>
    </w:rPr>
  </w:style>
  <w:style w:type="paragraph" w:styleId="TOC7">
    <w:name w:val="TOC 7"/>
    <w:next w:val="Normal"/>
    <w:uiPriority w:val="39"/>
    <w:pPr>
      <w:widowControl/>
      <w:suppressAutoHyphens w:val="true"/>
      <w:bidi w:val="0"/>
      <w:spacing w:lineRule="auto" w:line="240" w:before="0" w:after="0"/>
      <w:ind w:hanging="0" w:left="1200" w:right="0"/>
      <w:jc w:val="left"/>
    </w:pPr>
    <w:rPr>
      <w:rFonts w:ascii="XO Thames" w:hAnsi="XO Thames" w:eastAsia="Droid Sans Fallback" w:cs="Droid Sans Devanagari"/>
      <w:color w:val="000000"/>
      <w:spacing w:val="0"/>
      <w:kern w:val="0"/>
      <w:sz w:val="28"/>
      <w:szCs w:val="20"/>
      <w:lang w:val="ru-RU" w:eastAsia="zh-CN" w:bidi="hi-IN"/>
    </w:rPr>
  </w:style>
  <w:style w:type="paragraph" w:styleId="Header121">
    <w:name w:val="Header121"/>
    <w:link w:val="Header12"/>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Contents221">
    <w:name w:val="Contents 221"/>
    <w:link w:val="Contents22"/>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ConsPlusNormal111">
    <w:name w:val="ConsPlusNormal111"/>
    <w:link w:val="ConsPlusNormal11"/>
    <w:qFormat/>
    <w:pPr>
      <w:widowControl w:val="false"/>
      <w:suppressAutoHyphens w:val="true"/>
      <w:bidi w:val="0"/>
      <w:spacing w:lineRule="auto" w:line="240" w:before="0" w:after="0"/>
      <w:ind w:firstLine="720" w:left="0" w:right="0"/>
      <w:jc w:val="left"/>
    </w:pPr>
    <w:rPr>
      <w:rFonts w:ascii="Arial" w:hAnsi="Arial" w:eastAsia="Droid Sans Fallback" w:cs="Droid Sans Devanagari"/>
      <w:color w:val="000000"/>
      <w:spacing w:val="0"/>
      <w:kern w:val="0"/>
      <w:sz w:val="20"/>
      <w:szCs w:val="20"/>
      <w:lang w:val="ru-RU" w:eastAsia="zh-CN" w:bidi="hi-IN"/>
    </w:rPr>
  </w:style>
  <w:style w:type="paragraph" w:styleId="Heading311">
    <w:name w:val="Heading 311"/>
    <w:link w:val="Heading31"/>
    <w:qFormat/>
    <w:pPr>
      <w:widowControl/>
      <w:suppressAutoHyphens w:val="true"/>
      <w:bidi w:val="0"/>
      <w:spacing w:lineRule="auto" w:line="240" w:before="0" w:after="0"/>
      <w:ind w:hanging="0" w:left="0" w:right="0"/>
      <w:jc w:val="left"/>
    </w:pPr>
    <w:rPr>
      <w:rFonts w:ascii="XO Thames" w:hAnsi="XO Thames" w:eastAsia="Droid Sans Fallback" w:cs="Droid Sans Devanagari"/>
      <w:b/>
      <w:color w:val="000000"/>
      <w:spacing w:val="0"/>
      <w:kern w:val="0"/>
      <w:sz w:val="26"/>
      <w:szCs w:val="20"/>
      <w:lang w:val="ru-RU" w:eastAsia="zh-CN" w:bidi="hi-IN"/>
    </w:rPr>
  </w:style>
  <w:style w:type="paragraph" w:styleId="1111111111111111212">
    <w:name w:val="Заголовок111111111111111121"/>
    <w:basedOn w:val="Normal"/>
    <w:next w:val="BodyText"/>
    <w:link w:val="111111111111111121"/>
    <w:qFormat/>
    <w:pPr>
      <w:keepNext w:val="true"/>
      <w:spacing w:before="240" w:after="120"/>
    </w:pPr>
    <w:rPr>
      <w:rFonts w:ascii="Liberation Sans" w:hAnsi="Liberation Sans"/>
      <w:sz w:val="28"/>
    </w:rPr>
  </w:style>
  <w:style w:type="paragraph" w:styleId="11110">
    <w:name w:val="Символ концевой сноски111"/>
    <w:link w:val="11"/>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2"/>
      <w:szCs w:val="20"/>
      <w:vertAlign w:val="superscript"/>
      <w:lang w:val="ru-RU" w:eastAsia="zh-CN" w:bidi="hi-IN"/>
    </w:rPr>
  </w:style>
  <w:style w:type="paragraph" w:styleId="2111">
    <w:name w:val="Заголовок 2 Знак111"/>
    <w:basedOn w:val="DefaultParagraphFont111"/>
    <w:link w:val="211"/>
    <w:qFormat/>
    <w:pPr/>
    <w:rPr>
      <w:rFonts w:ascii="Times New Roman" w:hAnsi="Times New Roman"/>
      <w:b/>
      <w:sz w:val="36"/>
    </w:rPr>
  </w:style>
  <w:style w:type="paragraph" w:styleId="Endnote1">
    <w:name w:val="Endnote1"/>
    <w:link w:val="Endnote"/>
    <w:qFormat/>
    <w:pPr>
      <w:widowControl/>
      <w:suppressAutoHyphens w:val="true"/>
      <w:bidi w:val="0"/>
      <w:spacing w:lineRule="auto" w:line="240" w:before="0" w:after="0"/>
      <w:ind w:firstLine="851" w:left="0" w:right="0"/>
      <w:jc w:val="both"/>
    </w:pPr>
    <w:rPr>
      <w:rFonts w:ascii="XO Thames" w:hAnsi="XO Thames" w:eastAsia="Droid Sans Fallback" w:cs="Droid Sans Devanagari"/>
      <w:color w:val="000000"/>
      <w:spacing w:val="0"/>
      <w:kern w:val="0"/>
      <w:sz w:val="22"/>
      <w:szCs w:val="20"/>
      <w:lang w:val="ru-RU" w:eastAsia="zh-CN" w:bidi="hi-IN"/>
    </w:rPr>
  </w:style>
  <w:style w:type="paragraph" w:styleId="Contents13">
    <w:name w:val="Contents 13"/>
    <w:link w:val="Contents1"/>
    <w:qFormat/>
    <w:pPr>
      <w:widowControl/>
      <w:suppressAutoHyphens w:val="true"/>
      <w:bidi w:val="0"/>
      <w:spacing w:lineRule="auto" w:line="240" w:before="0" w:after="0"/>
      <w:ind w:hanging="0" w:left="0" w:right="0"/>
      <w:jc w:val="left"/>
    </w:pPr>
    <w:rPr>
      <w:rFonts w:ascii="XO Thames" w:hAnsi="XO Thames" w:eastAsia="Droid Sans Fallback" w:cs="Droid Sans Devanagari"/>
      <w:b/>
      <w:color w:val="000000"/>
      <w:spacing w:val="0"/>
      <w:kern w:val="0"/>
      <w:sz w:val="28"/>
      <w:szCs w:val="20"/>
      <w:lang w:val="ru-RU" w:eastAsia="zh-CN" w:bidi="hi-IN"/>
    </w:rPr>
  </w:style>
  <w:style w:type="paragraph" w:styleId="1111111111111211">
    <w:name w:val="Указатель111111111111121"/>
    <w:basedOn w:val="Normal"/>
    <w:link w:val="11111111111112"/>
    <w:qFormat/>
    <w:pPr/>
    <w:rPr/>
  </w:style>
  <w:style w:type="paragraph" w:styleId="1511">
    <w:name w:val="Колонтитул1511"/>
    <w:basedOn w:val="Normal"/>
    <w:link w:val="151"/>
    <w:qFormat/>
    <w:pPr/>
    <w:rPr/>
  </w:style>
  <w:style w:type="paragraph" w:styleId="11111111111111212">
    <w:name w:val="Заголовок1111111111111121"/>
    <w:basedOn w:val="Normal"/>
    <w:next w:val="BodyText"/>
    <w:link w:val="1111111111111121"/>
    <w:qFormat/>
    <w:pPr>
      <w:keepNext w:val="true"/>
      <w:spacing w:before="240" w:after="120"/>
    </w:pPr>
    <w:rPr>
      <w:rFonts w:ascii="Liberation Sans" w:hAnsi="Liberation Sans"/>
      <w:sz w:val="28"/>
    </w:rPr>
  </w:style>
  <w:style w:type="paragraph" w:styleId="111111111111211">
    <w:name w:val="Заголовок11111111111121"/>
    <w:basedOn w:val="Normal"/>
    <w:next w:val="BodyText"/>
    <w:link w:val="1111111111112"/>
    <w:qFormat/>
    <w:pPr>
      <w:keepNext w:val="true"/>
      <w:spacing w:before="240" w:after="120"/>
    </w:pPr>
    <w:rPr>
      <w:rFonts w:ascii="Liberation Sans" w:hAnsi="Liberation Sans"/>
      <w:sz w:val="28"/>
    </w:rPr>
  </w:style>
  <w:style w:type="paragraph" w:styleId="FontStyle13111">
    <w:name w:val="Font Style13111"/>
    <w:basedOn w:val="DefaultParagraphFont111"/>
    <w:link w:val="FontStyle1311"/>
    <w:qFormat/>
    <w:pPr/>
    <w:rPr>
      <w:rFonts w:ascii="Times New Roman" w:hAnsi="Times New Roman"/>
    </w:rPr>
  </w:style>
  <w:style w:type="paragraph" w:styleId="EndnoteSymbol">
    <w:name w:val="Endnote Symbol"/>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2"/>
      <w:szCs w:val="20"/>
      <w:vertAlign w:val="superscript"/>
      <w:lang w:val="ru-RU" w:eastAsia="zh-CN" w:bidi="hi-IN"/>
    </w:rPr>
  </w:style>
  <w:style w:type="paragraph" w:styleId="Contents83">
    <w:name w:val="Contents 83"/>
    <w:link w:val="Contents8"/>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111211">
    <w:name w:val="Заголовок11121"/>
    <w:basedOn w:val="Normal"/>
    <w:next w:val="BodyText"/>
    <w:link w:val="1112"/>
    <w:qFormat/>
    <w:pPr>
      <w:keepNext w:val="true"/>
      <w:spacing w:before="240" w:after="120"/>
    </w:pPr>
    <w:rPr>
      <w:rFonts w:ascii="Liberation Sans" w:hAnsi="Liberation Sans"/>
      <w:sz w:val="28"/>
    </w:rPr>
  </w:style>
  <w:style w:type="paragraph" w:styleId="11115">
    <w:name w:val="Текст сноски Знак111"/>
    <w:basedOn w:val="DefaultParagraphFont111"/>
    <w:link w:val="111"/>
    <w:qFormat/>
    <w:pPr/>
    <w:rPr>
      <w:rFonts w:ascii="Times New Roman" w:hAnsi="Times New Roman"/>
      <w:sz w:val="20"/>
    </w:rPr>
  </w:style>
  <w:style w:type="paragraph" w:styleId="TextBoldCenter111">
    <w:name w:val="TextBoldCenter111"/>
    <w:basedOn w:val="Normal"/>
    <w:link w:val="TextBoldCenter11"/>
    <w:qFormat/>
    <w:pPr>
      <w:spacing w:before="283" w:after="0"/>
      <w:jc w:val="center"/>
    </w:pPr>
    <w:rPr>
      <w:b/>
      <w:sz w:val="26"/>
    </w:rPr>
  </w:style>
  <w:style w:type="paragraph" w:styleId="111111111111212">
    <w:name w:val="Указатель11111111111121"/>
    <w:basedOn w:val="Normal"/>
    <w:link w:val="11111111111121"/>
    <w:qFormat/>
    <w:pPr/>
    <w:rPr/>
  </w:style>
  <w:style w:type="paragraph" w:styleId="List21">
    <w:name w:val="List21"/>
    <w:basedOn w:val="Textbody11"/>
    <w:link w:val="List2"/>
    <w:qFormat/>
    <w:pPr/>
    <w:rPr/>
  </w:style>
  <w:style w:type="paragraph" w:styleId="11116">
    <w:name w:val="Основной текст Знак111"/>
    <w:basedOn w:val="DefaultParagraphFont111"/>
    <w:link w:val="113"/>
    <w:qFormat/>
    <w:pPr/>
    <w:rPr>
      <w:rFonts w:ascii="Times New Roman" w:hAnsi="Times New Roman"/>
      <w:sz w:val="24"/>
    </w:rPr>
  </w:style>
  <w:style w:type="paragraph" w:styleId="3111">
    <w:name w:val="Колонтитул311"/>
    <w:basedOn w:val="Normal"/>
    <w:link w:val="31"/>
    <w:qFormat/>
    <w:pPr/>
    <w:rPr/>
  </w:style>
  <w:style w:type="paragraph" w:styleId="11117">
    <w:name w:val="Колонтитул1111"/>
    <w:basedOn w:val="Normal"/>
    <w:link w:val="1111"/>
    <w:qFormat/>
    <w:pPr/>
    <w:rPr/>
  </w:style>
  <w:style w:type="paragraph" w:styleId="11111111111111111211">
    <w:name w:val="Указатель1111111111111111121"/>
    <w:basedOn w:val="Normal"/>
    <w:link w:val="111111111111111112"/>
    <w:qFormat/>
    <w:pPr/>
    <w:rPr/>
  </w:style>
  <w:style w:type="paragraph" w:styleId="1111111111211">
    <w:name w:val="Заголовок111111111121"/>
    <w:basedOn w:val="Normal"/>
    <w:next w:val="BodyText"/>
    <w:link w:val="11111111112"/>
    <w:qFormat/>
    <w:pPr>
      <w:keepNext w:val="true"/>
      <w:spacing w:before="240" w:after="120"/>
    </w:pPr>
    <w:rPr>
      <w:rFonts w:ascii="Liberation Sans" w:hAnsi="Liberation Sans"/>
      <w:sz w:val="28"/>
    </w:rPr>
  </w:style>
  <w:style w:type="paragraph" w:styleId="FootnoteSymbol">
    <w:name w:val="Footnote Symbol"/>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2"/>
      <w:szCs w:val="20"/>
      <w:vertAlign w:val="superscript"/>
      <w:lang w:val="ru-RU" w:eastAsia="zh-CN" w:bidi="hi-IN"/>
    </w:rPr>
  </w:style>
  <w:style w:type="paragraph" w:styleId="Contents73">
    <w:name w:val="Contents 73"/>
    <w:link w:val="Contents71"/>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Subtitle21">
    <w:name w:val="Subtitle21"/>
    <w:link w:val="Subtitle2"/>
    <w:qFormat/>
    <w:pPr>
      <w:widowControl/>
      <w:suppressAutoHyphens w:val="true"/>
      <w:bidi w:val="0"/>
      <w:spacing w:lineRule="auto" w:line="240" w:before="0" w:after="0"/>
      <w:ind w:hanging="0" w:left="0" w:right="0"/>
      <w:jc w:val="left"/>
    </w:pPr>
    <w:rPr>
      <w:rFonts w:ascii="XO Thames" w:hAnsi="XO Thames" w:eastAsia="Droid Sans Fallback" w:cs="Droid Sans Devanagari"/>
      <w:i/>
      <w:color w:val="000000"/>
      <w:spacing w:val="0"/>
      <w:kern w:val="0"/>
      <w:sz w:val="24"/>
      <w:szCs w:val="20"/>
      <w:lang w:val="ru-RU" w:eastAsia="zh-CN" w:bidi="hi-IN"/>
    </w:rPr>
  </w:style>
  <w:style w:type="paragraph" w:styleId="Contents911">
    <w:name w:val="Contents 911"/>
    <w:link w:val="Contents91"/>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11111111111212">
    <w:name w:val="Указатель1111111111121"/>
    <w:basedOn w:val="Normal"/>
    <w:link w:val="1111111111121"/>
    <w:qFormat/>
    <w:pPr/>
    <w:rPr/>
  </w:style>
  <w:style w:type="paragraph" w:styleId="Heading221">
    <w:name w:val="Heading 221"/>
    <w:link w:val="Heading22"/>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b/>
      <w:color w:val="000000"/>
      <w:spacing w:val="0"/>
      <w:kern w:val="0"/>
      <w:sz w:val="36"/>
      <w:szCs w:val="20"/>
      <w:lang w:val="ru-RU" w:eastAsia="zh-CN" w:bidi="hi-IN"/>
    </w:rPr>
  </w:style>
  <w:style w:type="paragraph" w:styleId="TextBasTxt111">
    <w:name w:val="TextBasTxt111"/>
    <w:basedOn w:val="Normal"/>
    <w:link w:val="TextBasTxt11"/>
    <w:qFormat/>
    <w:pPr>
      <w:ind w:firstLine="567" w:left="0"/>
      <w:jc w:val="both"/>
    </w:pPr>
    <w:rPr/>
  </w:style>
  <w:style w:type="paragraph" w:styleId="4111">
    <w:name w:val="Колонтитул411"/>
    <w:basedOn w:val="Normal"/>
    <w:link w:val="41"/>
    <w:qFormat/>
    <w:pPr/>
    <w:rPr/>
  </w:style>
  <w:style w:type="paragraph" w:styleId="Annotationreference111">
    <w:name w:val="annotation reference111"/>
    <w:basedOn w:val="DefaultParagraphFont111"/>
    <w:link w:val="Annotationreference11"/>
    <w:qFormat/>
    <w:pPr/>
    <w:rPr>
      <w:sz w:val="16"/>
    </w:rPr>
  </w:style>
  <w:style w:type="paragraph" w:styleId="Annotationsubject111">
    <w:name w:val="annotation subject111"/>
    <w:basedOn w:val="Annotationtext111"/>
    <w:next w:val="Annotationtext111"/>
    <w:link w:val="Annotationsubject11"/>
    <w:qFormat/>
    <w:pPr/>
    <w:rPr>
      <w:b/>
    </w:rPr>
  </w:style>
  <w:style w:type="paragraph" w:styleId="BodyTextIndent2111">
    <w:name w:val="Body Text Indent 2111"/>
    <w:basedOn w:val="Normal"/>
    <w:link w:val="BodyTextIndent211"/>
    <w:qFormat/>
    <w:pPr>
      <w:ind w:firstLine="720" w:left="0"/>
      <w:jc w:val="both"/>
    </w:pPr>
    <w:rPr/>
  </w:style>
  <w:style w:type="paragraph" w:styleId="BalloonText111">
    <w:name w:val="Balloon Text111"/>
    <w:basedOn w:val="Normal"/>
    <w:link w:val="BalloonText11"/>
    <w:qFormat/>
    <w:pPr/>
    <w:rPr>
      <w:rFonts w:ascii="Tahoma" w:hAnsi="Tahoma"/>
      <w:sz w:val="16"/>
    </w:rPr>
  </w:style>
  <w:style w:type="paragraph" w:styleId="1411">
    <w:name w:val="Колонтитул1411"/>
    <w:basedOn w:val="Normal"/>
    <w:link w:val="141"/>
    <w:qFormat/>
    <w:pPr/>
    <w:rPr/>
  </w:style>
  <w:style w:type="paragraph" w:styleId="FontStyle11111">
    <w:name w:val="Font Style11111"/>
    <w:basedOn w:val="DefaultParagraphFont111"/>
    <w:link w:val="FontStyle1111"/>
    <w:qFormat/>
    <w:pPr/>
    <w:rPr>
      <w:rFonts w:ascii="Times New Roman" w:hAnsi="Times New Roman"/>
      <w:b/>
      <w:sz w:val="20"/>
    </w:rPr>
  </w:style>
  <w:style w:type="paragraph" w:styleId="TOC3">
    <w:name w:val="TOC 3"/>
    <w:next w:val="Normal"/>
    <w:uiPriority w:val="39"/>
    <w:pPr>
      <w:widowControl/>
      <w:suppressAutoHyphens w:val="true"/>
      <w:bidi w:val="0"/>
      <w:spacing w:lineRule="auto" w:line="240" w:before="0" w:after="0"/>
      <w:ind w:hanging="0" w:left="400" w:right="0"/>
      <w:jc w:val="left"/>
    </w:pPr>
    <w:rPr>
      <w:rFonts w:ascii="XO Thames" w:hAnsi="XO Thames" w:eastAsia="Droid Sans Fallback" w:cs="Droid Sans Devanagari"/>
      <w:color w:val="000000"/>
      <w:spacing w:val="0"/>
      <w:kern w:val="0"/>
      <w:sz w:val="28"/>
      <w:szCs w:val="20"/>
      <w:lang w:val="ru-RU" w:eastAsia="zh-CN" w:bidi="hi-IN"/>
    </w:rPr>
  </w:style>
  <w:style w:type="paragraph" w:styleId="Contents511">
    <w:name w:val="Contents 511"/>
    <w:link w:val="Contents51"/>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Footnote21">
    <w:name w:val="Footnote21"/>
    <w:basedOn w:val="Normal"/>
    <w:link w:val="Footnote2"/>
    <w:qFormat/>
    <w:pPr/>
    <w:rPr/>
  </w:style>
  <w:style w:type="paragraph" w:styleId="1111111111111212">
    <w:name w:val="Заголовок111111111111121"/>
    <w:basedOn w:val="Normal"/>
    <w:next w:val="BodyText"/>
    <w:link w:val="111111111111121"/>
    <w:qFormat/>
    <w:pPr>
      <w:keepNext w:val="true"/>
      <w:spacing w:before="240" w:after="120"/>
    </w:pPr>
    <w:rPr>
      <w:rFonts w:ascii="Liberation Sans" w:hAnsi="Liberation Sans"/>
      <w:sz w:val="28"/>
    </w:rPr>
  </w:style>
  <w:style w:type="paragraph" w:styleId="Heading2111">
    <w:name w:val="Heading 2111"/>
    <w:link w:val="Heading211"/>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b/>
      <w:color w:val="000000"/>
      <w:spacing w:val="0"/>
      <w:kern w:val="0"/>
      <w:sz w:val="36"/>
      <w:szCs w:val="20"/>
      <w:lang w:val="ru-RU" w:eastAsia="zh-CN" w:bidi="hi-IN"/>
    </w:rPr>
  </w:style>
  <w:style w:type="paragraph" w:styleId="Endnote21">
    <w:name w:val="Endnote21"/>
    <w:link w:val="Endnote2"/>
    <w:qFormat/>
    <w:pPr>
      <w:widowControl/>
      <w:suppressAutoHyphens w:val="true"/>
      <w:bidi w:val="0"/>
      <w:spacing w:lineRule="auto" w:line="240" w:before="0" w:after="0"/>
      <w:ind w:firstLine="851" w:left="0" w:right="0"/>
      <w:jc w:val="both"/>
    </w:pPr>
    <w:rPr>
      <w:rFonts w:ascii="XO Thames" w:hAnsi="XO Thames" w:eastAsia="Droid Sans Fallback" w:cs="Droid Sans Devanagari"/>
      <w:color w:val="000000"/>
      <w:spacing w:val="0"/>
      <w:kern w:val="0"/>
      <w:sz w:val="22"/>
      <w:szCs w:val="20"/>
      <w:lang w:val="ru-RU" w:eastAsia="zh-CN" w:bidi="hi-IN"/>
    </w:rPr>
  </w:style>
  <w:style w:type="paragraph" w:styleId="8111">
    <w:name w:val="Содержимое врезки811"/>
    <w:basedOn w:val="Normal"/>
    <w:link w:val="81"/>
    <w:qFormat/>
    <w:pPr/>
    <w:rPr/>
  </w:style>
  <w:style w:type="paragraph" w:styleId="5111">
    <w:name w:val="Колонтитул511"/>
    <w:basedOn w:val="Normal"/>
    <w:link w:val="51"/>
    <w:qFormat/>
    <w:pPr/>
    <w:rPr/>
  </w:style>
  <w:style w:type="paragraph" w:styleId="1111111211">
    <w:name w:val="Указатель111111121"/>
    <w:basedOn w:val="Normal"/>
    <w:link w:val="11111112"/>
    <w:qFormat/>
    <w:pPr/>
    <w:rPr/>
  </w:style>
  <w:style w:type="paragraph" w:styleId="2112">
    <w:name w:val="Содержимое врезки211"/>
    <w:basedOn w:val="Normal"/>
    <w:link w:val="21"/>
    <w:qFormat/>
    <w:pPr/>
    <w:rPr/>
  </w:style>
  <w:style w:type="paragraph" w:styleId="111111111111111211">
    <w:name w:val="Заголовок11111111111111121"/>
    <w:basedOn w:val="Normal"/>
    <w:next w:val="BodyText"/>
    <w:link w:val="1111111111111112"/>
    <w:qFormat/>
    <w:pPr>
      <w:keepNext w:val="true"/>
      <w:spacing w:before="240" w:after="120"/>
    </w:pPr>
    <w:rPr>
      <w:rFonts w:ascii="Liberation Sans" w:hAnsi="Liberation Sans"/>
      <w:sz w:val="28"/>
    </w:rPr>
  </w:style>
  <w:style w:type="paragraph" w:styleId="Textbody21">
    <w:name w:val="Text body21"/>
    <w:link w:val="Textbody2"/>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2"/>
      <w:szCs w:val="20"/>
      <w:lang w:val="ru-RU" w:eastAsia="zh-CN" w:bidi="hi-IN"/>
    </w:rPr>
  </w:style>
  <w:style w:type="paragraph" w:styleId="111111212">
    <w:name w:val="Заголовок11111121"/>
    <w:basedOn w:val="Normal"/>
    <w:next w:val="BodyText"/>
    <w:link w:val="11111121"/>
    <w:qFormat/>
    <w:pPr>
      <w:keepNext w:val="true"/>
      <w:spacing w:before="240" w:after="120"/>
    </w:pPr>
    <w:rPr>
      <w:rFonts w:ascii="Liberation Sans" w:hAnsi="Liberation Sans"/>
      <w:sz w:val="28"/>
    </w:rPr>
  </w:style>
  <w:style w:type="paragraph" w:styleId="11118">
    <w:name w:val="Заголовок 1 Знак111"/>
    <w:basedOn w:val="DefaultParagraphFont111"/>
    <w:link w:val="1113"/>
    <w:qFormat/>
    <w:pPr/>
    <w:rPr>
      <w:rFonts w:ascii="Arial" w:hAnsi="Arial"/>
      <w:b/>
      <w:sz w:val="32"/>
    </w:rPr>
  </w:style>
  <w:style w:type="paragraph" w:styleId="StrongEmphasis">
    <w:name w:val="Strong Emphasis"/>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b/>
      <w:color w:val="000000"/>
      <w:spacing w:val="0"/>
      <w:kern w:val="0"/>
      <w:sz w:val="22"/>
      <w:szCs w:val="20"/>
      <w:lang w:val="ru-RU" w:eastAsia="zh-CN" w:bidi="hi-IN"/>
    </w:rPr>
  </w:style>
  <w:style w:type="paragraph" w:styleId="4112">
    <w:name w:val="Содержимое врезки411"/>
    <w:basedOn w:val="Normal"/>
    <w:link w:val="411"/>
    <w:qFormat/>
    <w:pPr/>
    <w:rPr/>
  </w:style>
  <w:style w:type="paragraph" w:styleId="11111111111111111212">
    <w:name w:val="Заголовок1111111111111111121"/>
    <w:basedOn w:val="Normal"/>
    <w:next w:val="BodyText"/>
    <w:link w:val="1111111111111111121"/>
    <w:qFormat/>
    <w:pPr>
      <w:keepNext w:val="true"/>
      <w:spacing w:before="240" w:after="120"/>
    </w:pPr>
    <w:rPr>
      <w:rFonts w:ascii="Liberation Sans" w:hAnsi="Liberation Sans"/>
      <w:sz w:val="28"/>
    </w:rPr>
  </w:style>
  <w:style w:type="paragraph" w:styleId="1111114">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11"/>
    <w:basedOn w:val="Normal"/>
    <w:link w:val="11111"/>
    <w:qFormat/>
    <w:pPr>
      <w:spacing w:lineRule="exact" w:line="240" w:before="0" w:after="160"/>
    </w:pPr>
    <w:rPr>
      <w:rFonts w:ascii="Verdana" w:hAnsi="Verdana"/>
      <w:sz w:val="20"/>
    </w:rPr>
  </w:style>
  <w:style w:type="paragraph" w:styleId="Pagenumber111">
    <w:name w:val="page number111"/>
    <w:basedOn w:val="DefaultParagraphFont111"/>
    <w:link w:val="Pagenumber11"/>
    <w:qFormat/>
    <w:pPr/>
    <w:rPr/>
  </w:style>
  <w:style w:type="paragraph" w:styleId="Endnote111">
    <w:name w:val="Endnote111"/>
    <w:link w:val="Endnote11"/>
    <w:qFormat/>
    <w:pPr>
      <w:widowControl/>
      <w:suppressAutoHyphens w:val="true"/>
      <w:bidi w:val="0"/>
      <w:spacing w:lineRule="auto" w:line="240" w:before="0" w:after="0"/>
      <w:ind w:firstLine="851" w:left="0" w:right="0"/>
      <w:jc w:val="both"/>
    </w:pPr>
    <w:rPr>
      <w:rFonts w:ascii="XO Thames" w:hAnsi="XO Thames" w:eastAsia="Droid Sans Fallback" w:cs="Droid Sans Devanagari"/>
      <w:color w:val="000000"/>
      <w:spacing w:val="0"/>
      <w:kern w:val="0"/>
      <w:sz w:val="22"/>
      <w:szCs w:val="20"/>
      <w:lang w:val="ru-RU" w:eastAsia="zh-CN" w:bidi="hi-IN"/>
    </w:rPr>
  </w:style>
  <w:style w:type="paragraph" w:styleId="Header">
    <w:name w:val="Header"/>
    <w:basedOn w:val="Normal"/>
    <w:pPr>
      <w:tabs>
        <w:tab w:val="clear" w:pos="709"/>
        <w:tab w:val="center" w:pos="4677" w:leader="none"/>
        <w:tab w:val="right" w:pos="9355" w:leader="none"/>
      </w:tabs>
    </w:pPr>
    <w:rPr>
      <w:sz w:val="20"/>
    </w:rPr>
  </w:style>
  <w:style w:type="paragraph" w:styleId="11111211">
    <w:name w:val="Заголовок1111121"/>
    <w:basedOn w:val="Normal"/>
    <w:next w:val="BodyText"/>
    <w:link w:val="111112"/>
    <w:qFormat/>
    <w:pPr>
      <w:keepNext w:val="true"/>
      <w:spacing w:before="240" w:after="120"/>
    </w:pPr>
    <w:rPr>
      <w:rFonts w:ascii="Liberation Sans" w:hAnsi="Liberation Sans"/>
      <w:sz w:val="28"/>
    </w:rPr>
  </w:style>
  <w:style w:type="paragraph" w:styleId="Textbody11">
    <w:name w:val="Text body11"/>
    <w:link w:val="Textbody1"/>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2"/>
      <w:szCs w:val="20"/>
      <w:lang w:val="ru-RU" w:eastAsia="zh-CN" w:bidi="hi-IN"/>
    </w:rPr>
  </w:style>
  <w:style w:type="paragraph" w:styleId="Heading5111">
    <w:name w:val="Heading 5111"/>
    <w:link w:val="Heading511"/>
    <w:qFormat/>
    <w:pPr>
      <w:widowControl/>
      <w:suppressAutoHyphens w:val="true"/>
      <w:bidi w:val="0"/>
      <w:spacing w:lineRule="auto" w:line="240" w:before="0" w:after="0"/>
      <w:ind w:hanging="0" w:left="0" w:right="0"/>
      <w:jc w:val="left"/>
    </w:pPr>
    <w:rPr>
      <w:rFonts w:ascii="XO Thames" w:hAnsi="XO Thames" w:eastAsia="Droid Sans Fallback" w:cs="Droid Sans Devanagari"/>
      <w:b/>
      <w:color w:val="000000"/>
      <w:spacing w:val="0"/>
      <w:kern w:val="0"/>
      <w:sz w:val="22"/>
      <w:szCs w:val="20"/>
      <w:lang w:val="ru-RU" w:eastAsia="zh-CN" w:bidi="hi-IN"/>
    </w:rPr>
  </w:style>
  <w:style w:type="paragraph" w:styleId="BodyTextIndent3111">
    <w:name w:val="Body Text Indent 3111"/>
    <w:basedOn w:val="Normal"/>
    <w:link w:val="BodyTextIndent311"/>
    <w:qFormat/>
    <w:pPr>
      <w:spacing w:before="0" w:after="120"/>
      <w:ind w:firstLine="720" w:left="0"/>
      <w:jc w:val="both"/>
    </w:pPr>
    <w:rPr>
      <w:b/>
      <w:sz w:val="28"/>
    </w:rPr>
  </w:style>
  <w:style w:type="paragraph" w:styleId="6111">
    <w:name w:val="Колонтитул611"/>
    <w:basedOn w:val="Normal"/>
    <w:link w:val="61"/>
    <w:qFormat/>
    <w:pPr/>
    <w:rPr/>
  </w:style>
  <w:style w:type="paragraph" w:styleId="StrongEmphasis11">
    <w:name w:val="Strong Emphasis11"/>
    <w:link w:val="StrongEmphasis1"/>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b/>
      <w:color w:val="000000"/>
      <w:spacing w:val="0"/>
      <w:kern w:val="0"/>
      <w:sz w:val="22"/>
      <w:szCs w:val="20"/>
      <w:lang w:val="ru-RU" w:eastAsia="zh-CN" w:bidi="hi-IN"/>
    </w:rPr>
  </w:style>
  <w:style w:type="paragraph" w:styleId="9111">
    <w:name w:val="Содержимое врезки911"/>
    <w:basedOn w:val="Normal"/>
    <w:link w:val="91"/>
    <w:qFormat/>
    <w:pPr/>
    <w:rPr/>
  </w:style>
  <w:style w:type="paragraph" w:styleId="Footnote111">
    <w:name w:val="Footnote111"/>
    <w:basedOn w:val="Normal"/>
    <w:link w:val="Footnote11"/>
    <w:qFormat/>
    <w:pPr/>
    <w:rPr>
      <w:sz w:val="20"/>
    </w:rPr>
  </w:style>
  <w:style w:type="paragraph" w:styleId="7111">
    <w:name w:val="Колонтитул711"/>
    <w:basedOn w:val="Normal"/>
    <w:link w:val="71"/>
    <w:qFormat/>
    <w:pPr/>
    <w:rPr/>
  </w:style>
  <w:style w:type="paragraph" w:styleId="Subtitle111">
    <w:name w:val="Subtitle111"/>
    <w:link w:val="Subtitle11"/>
    <w:qFormat/>
    <w:pPr>
      <w:widowControl/>
      <w:suppressAutoHyphens w:val="true"/>
      <w:bidi w:val="0"/>
      <w:spacing w:lineRule="auto" w:line="240" w:before="0" w:after="0"/>
      <w:ind w:hanging="0" w:left="0" w:right="0"/>
      <w:jc w:val="left"/>
    </w:pPr>
    <w:rPr>
      <w:rFonts w:ascii="XO Thames" w:hAnsi="XO Thames" w:eastAsia="Droid Sans Fallback" w:cs="Droid Sans Devanagari"/>
      <w:i/>
      <w:color w:val="000000"/>
      <w:spacing w:val="0"/>
      <w:kern w:val="0"/>
      <w:sz w:val="24"/>
      <w:szCs w:val="20"/>
      <w:lang w:val="ru-RU" w:eastAsia="zh-CN" w:bidi="hi-IN"/>
    </w:rPr>
  </w:style>
  <w:style w:type="paragraph" w:styleId="DefaultParagraphFont111">
    <w:name w:val="Default Paragraph Font111"/>
    <w:link w:val="DefaultParagraphFont11"/>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2"/>
      <w:szCs w:val="20"/>
      <w:lang w:val="ru-RU" w:eastAsia="zh-CN" w:bidi="hi-IN"/>
    </w:rPr>
  </w:style>
  <w:style w:type="paragraph" w:styleId="11212">
    <w:name w:val="Заголовок1121"/>
    <w:basedOn w:val="Normal"/>
    <w:next w:val="BodyText"/>
    <w:link w:val="1121"/>
    <w:qFormat/>
    <w:pPr>
      <w:keepNext w:val="true"/>
      <w:spacing w:before="240" w:after="120"/>
    </w:pPr>
    <w:rPr>
      <w:rFonts w:ascii="Liberation Sans" w:hAnsi="Liberation Sans"/>
      <w:sz w:val="28"/>
    </w:rPr>
  </w:style>
  <w:style w:type="paragraph" w:styleId="Footer21">
    <w:name w:val="Footer21"/>
    <w:link w:val="Footer2"/>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2"/>
      <w:szCs w:val="20"/>
      <w:lang w:val="ru-RU" w:eastAsia="zh-CN" w:bidi="hi-IN"/>
    </w:rPr>
  </w:style>
  <w:style w:type="paragraph" w:styleId="Header13">
    <w:name w:val="Header13"/>
    <w:link w:val="Header11"/>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Contents121">
    <w:name w:val="Contents 121"/>
    <w:link w:val="Contents12"/>
    <w:qFormat/>
    <w:pPr>
      <w:widowControl/>
      <w:suppressAutoHyphens w:val="true"/>
      <w:bidi w:val="0"/>
      <w:spacing w:lineRule="auto" w:line="240" w:before="0" w:after="0"/>
      <w:ind w:hanging="0" w:left="0" w:right="0"/>
      <w:jc w:val="left"/>
    </w:pPr>
    <w:rPr>
      <w:rFonts w:ascii="XO Thames" w:hAnsi="XO Thames" w:eastAsia="Droid Sans Fallback" w:cs="Droid Sans Devanagari"/>
      <w:b/>
      <w:color w:val="000000"/>
      <w:spacing w:val="0"/>
      <w:kern w:val="0"/>
      <w:sz w:val="28"/>
      <w:szCs w:val="20"/>
      <w:lang w:val="ru-RU" w:eastAsia="zh-CN" w:bidi="hi-IN"/>
    </w:rPr>
  </w:style>
  <w:style w:type="paragraph" w:styleId="111111111111111111112">
    <w:name w:val="Указатель11111111111111111111"/>
    <w:basedOn w:val="Normal"/>
    <w:link w:val="11111111111111111111"/>
    <w:qFormat/>
    <w:pPr/>
    <w:rPr/>
  </w:style>
  <w:style w:type="paragraph" w:styleId="Internetlink">
    <w:name w:val="Internet link"/>
    <w:qFormat/>
    <w:pPr>
      <w:widowControl/>
      <w:suppressAutoHyphens w:val="true"/>
      <w:bidi w:val="0"/>
      <w:spacing w:lineRule="auto" w:line="240" w:before="0" w:after="0"/>
      <w:ind w:hanging="0" w:left="0" w:right="0"/>
      <w:jc w:val="left"/>
    </w:pPr>
    <w:rPr>
      <w:rFonts w:ascii="Calibri" w:hAnsi="Calibri" w:eastAsia="Droid Sans Fallback" w:cs="Droid Sans Devanagari"/>
      <w:color w:val="0000FF"/>
      <w:spacing w:val="0"/>
      <w:kern w:val="0"/>
      <w:sz w:val="22"/>
      <w:szCs w:val="20"/>
      <w:u w:val="single"/>
      <w:lang w:val="ru-RU" w:eastAsia="zh-CN" w:bidi="hi-IN"/>
    </w:rPr>
  </w:style>
  <w:style w:type="paragraph" w:styleId="Footnote1">
    <w:name w:val="Footnote1"/>
    <w:basedOn w:val="Normal"/>
    <w:link w:val="Footnote"/>
    <w:qFormat/>
    <w:pPr/>
    <w:rPr/>
  </w:style>
  <w:style w:type="paragraph" w:styleId="9112">
    <w:name w:val="Колонтитул911"/>
    <w:basedOn w:val="Normal"/>
    <w:link w:val="911"/>
    <w:qFormat/>
    <w:pPr/>
    <w:rPr/>
  </w:style>
  <w:style w:type="paragraph" w:styleId="1811">
    <w:name w:val="Колонтитул1811"/>
    <w:basedOn w:val="Normal"/>
    <w:link w:val="181"/>
    <w:qFormat/>
    <w:pPr/>
    <w:rPr/>
  </w:style>
  <w:style w:type="paragraph" w:styleId="Footer111">
    <w:name w:val="Footer111"/>
    <w:link w:val="Footer11"/>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2"/>
      <w:szCs w:val="20"/>
      <w:lang w:val="ru-RU" w:eastAsia="zh-CN" w:bidi="hi-IN"/>
    </w:rPr>
  </w:style>
  <w:style w:type="paragraph" w:styleId="TOC1">
    <w:name w:val="TOC 1"/>
    <w:next w:val="Normal"/>
    <w:uiPriority w:val="39"/>
    <w:pPr>
      <w:widowControl/>
      <w:suppressAutoHyphens w:val="true"/>
      <w:bidi w:val="0"/>
      <w:spacing w:lineRule="auto" w:line="240" w:before="0" w:after="0"/>
      <w:ind w:hanging="0" w:left="0" w:right="0"/>
      <w:jc w:val="left"/>
    </w:pPr>
    <w:rPr>
      <w:rFonts w:ascii="XO Thames" w:hAnsi="XO Thames" w:eastAsia="Droid Sans Fallback" w:cs="Droid Sans Devanagari"/>
      <w:b/>
      <w:color w:val="000000"/>
      <w:spacing w:val="0"/>
      <w:kern w:val="0"/>
      <w:sz w:val="28"/>
      <w:szCs w:val="20"/>
      <w:lang w:val="ru-RU" w:eastAsia="zh-CN" w:bidi="hi-IN"/>
    </w:rPr>
  </w:style>
  <w:style w:type="paragraph" w:styleId="111111111211">
    <w:name w:val="Заголовок11111111121"/>
    <w:basedOn w:val="Normal"/>
    <w:next w:val="BodyText"/>
    <w:link w:val="1111111112"/>
    <w:qFormat/>
    <w:pPr>
      <w:keepNext w:val="true"/>
      <w:spacing w:before="240" w:after="120"/>
    </w:pPr>
    <w:rPr>
      <w:rFonts w:ascii="Liberation Sans" w:hAnsi="Liberation Sans"/>
      <w:sz w:val="28"/>
    </w:rPr>
  </w:style>
  <w:style w:type="paragraph" w:styleId="BodyTextIndent">
    <w:name w:val="Body Text Indent"/>
    <w:basedOn w:val="Normal"/>
    <w:pPr>
      <w:spacing w:before="0" w:after="120"/>
      <w:ind w:hanging="0" w:left="283"/>
    </w:pPr>
    <w:rPr>
      <w:sz w:val="20"/>
    </w:rPr>
  </w:style>
  <w:style w:type="paragraph" w:styleId="1111211">
    <w:name w:val="Заголовок111121"/>
    <w:basedOn w:val="Normal"/>
    <w:next w:val="BodyText"/>
    <w:link w:val="11112"/>
    <w:qFormat/>
    <w:pPr>
      <w:keepNext w:val="true"/>
      <w:spacing w:before="240" w:after="120"/>
    </w:pPr>
    <w:rPr>
      <w:rFonts w:ascii="Liberation Sans" w:hAnsi="Liberation Sans"/>
      <w:sz w:val="28"/>
    </w:rPr>
  </w:style>
  <w:style w:type="paragraph" w:styleId="11111111211">
    <w:name w:val="Указатель1111111121"/>
    <w:basedOn w:val="Normal"/>
    <w:link w:val="111111112"/>
    <w:qFormat/>
    <w:pPr/>
    <w:rPr/>
  </w:style>
  <w:style w:type="paragraph" w:styleId="1213">
    <w:name w:val="Заголовок121"/>
    <w:basedOn w:val="Normal"/>
    <w:next w:val="BodyText"/>
    <w:link w:val="121"/>
    <w:qFormat/>
    <w:pPr>
      <w:keepNext w:val="true"/>
      <w:spacing w:before="240" w:after="120"/>
    </w:pPr>
    <w:rPr>
      <w:rFonts w:ascii="Liberation Sans" w:hAnsi="Liberation Sans"/>
      <w:sz w:val="28"/>
    </w:rPr>
  </w:style>
  <w:style w:type="paragraph" w:styleId="6112">
    <w:name w:val="Содержимое врезки611"/>
    <w:basedOn w:val="Normal"/>
    <w:link w:val="611"/>
    <w:qFormat/>
    <w:pPr/>
    <w:rPr/>
  </w:style>
  <w:style w:type="paragraph" w:styleId="Contents821">
    <w:name w:val="Contents 821"/>
    <w:link w:val="Contents82"/>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11111212">
    <w:name w:val="Указатель1111121"/>
    <w:basedOn w:val="Normal"/>
    <w:link w:val="1111121"/>
    <w:qFormat/>
    <w:pPr/>
    <w:rPr/>
  </w:style>
  <w:style w:type="paragraph" w:styleId="1311">
    <w:name w:val="Колонтитул1311"/>
    <w:basedOn w:val="Normal"/>
    <w:link w:val="131"/>
    <w:qFormat/>
    <w:pPr/>
    <w:rPr/>
  </w:style>
  <w:style w:type="paragraph" w:styleId="Caption111">
    <w:name w:val="Caption111"/>
    <w:link w:val="Caption11"/>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i/>
      <w:color w:val="000000"/>
      <w:spacing w:val="0"/>
      <w:kern w:val="0"/>
      <w:sz w:val="24"/>
      <w:szCs w:val="20"/>
      <w:lang w:val="ru-RU" w:eastAsia="zh-CN" w:bidi="hi-IN"/>
    </w:rPr>
  </w:style>
  <w:style w:type="paragraph" w:styleId="TOC9">
    <w:name w:val="TOC 9"/>
    <w:next w:val="Normal"/>
    <w:uiPriority w:val="39"/>
    <w:pPr>
      <w:widowControl/>
      <w:suppressAutoHyphens w:val="true"/>
      <w:bidi w:val="0"/>
      <w:spacing w:lineRule="auto" w:line="240" w:before="0" w:after="0"/>
      <w:ind w:hanging="0" w:left="1600" w:right="0"/>
      <w:jc w:val="left"/>
    </w:pPr>
    <w:rPr>
      <w:rFonts w:ascii="XO Thames" w:hAnsi="XO Thames" w:eastAsia="Droid Sans Fallback" w:cs="Droid Sans Devanagari"/>
      <w:color w:val="000000"/>
      <w:spacing w:val="0"/>
      <w:kern w:val="0"/>
      <w:sz w:val="28"/>
      <w:szCs w:val="20"/>
      <w:lang w:val="ru-RU" w:eastAsia="zh-CN" w:bidi="hi-IN"/>
    </w:rPr>
  </w:style>
  <w:style w:type="paragraph" w:styleId="10111">
    <w:name w:val="Содержимое врезки1011"/>
    <w:basedOn w:val="Normal"/>
    <w:link w:val="101"/>
    <w:qFormat/>
    <w:pPr/>
    <w:rPr/>
  </w:style>
  <w:style w:type="paragraph" w:styleId="5112">
    <w:name w:val="Содержимое врезки511"/>
    <w:basedOn w:val="Normal"/>
    <w:link w:val="511"/>
    <w:qFormat/>
    <w:pPr/>
    <w:rPr/>
  </w:style>
  <w:style w:type="paragraph" w:styleId="11119">
    <w:name w:val="Содержимое врезки111"/>
    <w:basedOn w:val="Normal"/>
    <w:link w:val="114"/>
    <w:qFormat/>
    <w:pPr/>
    <w:rPr/>
  </w:style>
  <w:style w:type="paragraph" w:styleId="Contents23">
    <w:name w:val="Contents 23"/>
    <w:link w:val="Contents21"/>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11120">
    <w:name w:val="Верхний колонтитул Знак111"/>
    <w:basedOn w:val="DefaultParagraphFont111"/>
    <w:link w:val="115"/>
    <w:qFormat/>
    <w:pPr/>
    <w:rPr>
      <w:rFonts w:ascii="Times New Roman" w:hAnsi="Times New Roman"/>
      <w:sz w:val="20"/>
    </w:rPr>
  </w:style>
  <w:style w:type="paragraph" w:styleId="110">
    <w:name w:val="Символ сноски1"/>
    <w:link w:val="Style12"/>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2"/>
      <w:szCs w:val="20"/>
      <w:vertAlign w:val="superscript"/>
      <w:lang w:val="ru-RU" w:eastAsia="zh-CN" w:bidi="hi-IN"/>
    </w:rPr>
  </w:style>
  <w:style w:type="paragraph" w:styleId="12111">
    <w:name w:val="Колонтитул1211"/>
    <w:basedOn w:val="Normal"/>
    <w:link w:val="1211"/>
    <w:qFormat/>
    <w:pPr/>
    <w:rPr/>
  </w:style>
  <w:style w:type="paragraph" w:styleId="BodyText3111">
    <w:name w:val="Body Text 3111"/>
    <w:basedOn w:val="Normal"/>
    <w:link w:val="BodyText311"/>
    <w:qFormat/>
    <w:pPr>
      <w:spacing w:lineRule="auto" w:line="264"/>
    </w:pPr>
    <w:rPr>
      <w:sz w:val="28"/>
    </w:rPr>
  </w:style>
  <w:style w:type="paragraph" w:styleId="Heading521">
    <w:name w:val="Heading 521"/>
    <w:link w:val="Heading52"/>
    <w:qFormat/>
    <w:pPr>
      <w:widowControl/>
      <w:suppressAutoHyphens w:val="true"/>
      <w:bidi w:val="0"/>
      <w:spacing w:lineRule="auto" w:line="240" w:before="0" w:after="0"/>
      <w:ind w:hanging="0" w:left="0" w:right="0"/>
      <w:jc w:val="left"/>
    </w:pPr>
    <w:rPr>
      <w:rFonts w:ascii="XO Thames" w:hAnsi="XO Thames" w:eastAsia="Droid Sans Fallback" w:cs="Droid Sans Devanagari"/>
      <w:b/>
      <w:color w:val="000000"/>
      <w:spacing w:val="0"/>
      <w:kern w:val="0"/>
      <w:sz w:val="22"/>
      <w:szCs w:val="20"/>
      <w:lang w:val="ru-RU" w:eastAsia="zh-CN" w:bidi="hi-IN"/>
    </w:rPr>
  </w:style>
  <w:style w:type="paragraph" w:styleId="11122">
    <w:name w:val="Знак Знак Знак Знак111"/>
    <w:basedOn w:val="Normal"/>
    <w:link w:val="116"/>
    <w:qFormat/>
    <w:pPr>
      <w:spacing w:lineRule="exact" w:line="240" w:before="0" w:after="160"/>
    </w:pPr>
    <w:rPr/>
  </w:style>
  <w:style w:type="paragraph" w:styleId="8112">
    <w:name w:val="Колонтитул811"/>
    <w:basedOn w:val="Normal"/>
    <w:link w:val="811"/>
    <w:qFormat/>
    <w:pPr/>
    <w:rPr/>
  </w:style>
  <w:style w:type="paragraph" w:styleId="11123">
    <w:name w:val="Основной текст с отступом Знак111"/>
    <w:basedOn w:val="DefaultParagraphFont111"/>
    <w:link w:val="117"/>
    <w:qFormat/>
    <w:pPr/>
    <w:rPr>
      <w:rFonts w:ascii="Times New Roman" w:hAnsi="Times New Roman"/>
      <w:sz w:val="20"/>
    </w:rPr>
  </w:style>
  <w:style w:type="paragraph" w:styleId="FootnoteSymbol21">
    <w:name w:val="Footnote Symbol21"/>
    <w:link w:val="FootnoteSymbol2"/>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2"/>
      <w:szCs w:val="20"/>
      <w:vertAlign w:val="superscript"/>
      <w:lang w:val="ru-RU" w:eastAsia="zh-CN" w:bidi="hi-IN"/>
    </w:rPr>
  </w:style>
  <w:style w:type="paragraph" w:styleId="TOC8">
    <w:name w:val="TOC 8"/>
    <w:next w:val="Normal"/>
    <w:uiPriority w:val="39"/>
    <w:pPr>
      <w:widowControl/>
      <w:suppressAutoHyphens w:val="true"/>
      <w:bidi w:val="0"/>
      <w:spacing w:lineRule="auto" w:line="240" w:before="0" w:after="0"/>
      <w:ind w:hanging="0" w:left="1400" w:right="0"/>
      <w:jc w:val="left"/>
    </w:pPr>
    <w:rPr>
      <w:rFonts w:ascii="XO Thames" w:hAnsi="XO Thames" w:eastAsia="Droid Sans Fallback" w:cs="Droid Sans Devanagari"/>
      <w:color w:val="000000"/>
      <w:spacing w:val="0"/>
      <w:kern w:val="0"/>
      <w:sz w:val="28"/>
      <w:szCs w:val="20"/>
      <w:lang w:val="ru-RU" w:eastAsia="zh-CN" w:bidi="hi-IN"/>
    </w:rPr>
  </w:style>
  <w:style w:type="paragraph" w:styleId="Contents43">
    <w:name w:val="Contents 43"/>
    <w:link w:val="Contents41"/>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Contents621">
    <w:name w:val="Contents 621"/>
    <w:link w:val="Contents62"/>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111111111212">
    <w:name w:val="Указатель11111111121"/>
    <w:basedOn w:val="Normal"/>
    <w:link w:val="11111111121"/>
    <w:qFormat/>
    <w:pPr/>
    <w:rPr/>
  </w:style>
  <w:style w:type="paragraph" w:styleId="1111111212">
    <w:name w:val="Заголовок111111121"/>
    <w:basedOn w:val="Normal"/>
    <w:next w:val="BodyText"/>
    <w:link w:val="111111121"/>
    <w:qFormat/>
    <w:pPr>
      <w:keepNext w:val="true"/>
      <w:spacing w:before="240" w:after="120"/>
    </w:pPr>
    <w:rPr>
      <w:rFonts w:ascii="Liberation Sans" w:hAnsi="Liberation Sans"/>
      <w:sz w:val="28"/>
    </w:rPr>
  </w:style>
  <w:style w:type="paragraph" w:styleId="Heading4111">
    <w:name w:val="Heading 4111"/>
    <w:link w:val="Heading411"/>
    <w:qFormat/>
    <w:pPr>
      <w:widowControl/>
      <w:suppressAutoHyphens w:val="true"/>
      <w:bidi w:val="0"/>
      <w:spacing w:lineRule="auto" w:line="240" w:before="0" w:after="0"/>
      <w:ind w:hanging="0" w:left="0" w:right="0"/>
      <w:jc w:val="left"/>
    </w:pPr>
    <w:rPr>
      <w:rFonts w:ascii="XO Thames" w:hAnsi="XO Thames" w:eastAsia="Droid Sans Fallback" w:cs="Droid Sans Devanagari"/>
      <w:b/>
      <w:color w:val="000000"/>
      <w:spacing w:val="0"/>
      <w:kern w:val="0"/>
      <w:sz w:val="24"/>
      <w:szCs w:val="20"/>
      <w:lang w:val="ru-RU" w:eastAsia="zh-CN" w:bidi="hi-IN"/>
    </w:rPr>
  </w:style>
  <w:style w:type="paragraph" w:styleId="List111">
    <w:name w:val="List111"/>
    <w:basedOn w:val="Textbody21"/>
    <w:link w:val="List11"/>
    <w:qFormat/>
    <w:pPr/>
    <w:rPr/>
  </w:style>
  <w:style w:type="paragraph" w:styleId="Contents63">
    <w:name w:val="Contents 63"/>
    <w:link w:val="Contents61"/>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1111111111212">
    <w:name w:val="Указатель111111111121"/>
    <w:basedOn w:val="Normal"/>
    <w:link w:val="111111111121"/>
    <w:qFormat/>
    <w:pPr/>
    <w:rPr/>
  </w:style>
  <w:style w:type="paragraph" w:styleId="Contents321">
    <w:name w:val="Contents 321"/>
    <w:link w:val="Contents32"/>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Annotationtext111">
    <w:name w:val="annotation text111"/>
    <w:basedOn w:val="Normal"/>
    <w:link w:val="Annotationtext11"/>
    <w:qFormat/>
    <w:pPr>
      <w:spacing w:before="0" w:after="160"/>
    </w:pPr>
    <w:rPr>
      <w:rFonts w:ascii="Calibri" w:hAnsi="Calibri" w:asciiTheme="minorAscii" w:hAnsiTheme="minorHAnsi"/>
      <w:sz w:val="20"/>
    </w:rPr>
  </w:style>
  <w:style w:type="paragraph" w:styleId="3112">
    <w:name w:val="Содержимое врезки311"/>
    <w:basedOn w:val="Normal"/>
    <w:link w:val="311"/>
    <w:qFormat/>
    <w:pPr/>
    <w:rPr/>
  </w:style>
  <w:style w:type="paragraph" w:styleId="1111212">
    <w:name w:val="Указатель111121"/>
    <w:basedOn w:val="Normal"/>
    <w:link w:val="111121"/>
    <w:qFormat/>
    <w:pPr/>
    <w:rPr/>
  </w:style>
  <w:style w:type="paragraph" w:styleId="TOC5">
    <w:name w:val="TOC 5"/>
    <w:next w:val="Normal"/>
    <w:uiPriority w:val="39"/>
    <w:pPr>
      <w:widowControl/>
      <w:suppressAutoHyphens w:val="true"/>
      <w:bidi w:val="0"/>
      <w:spacing w:lineRule="auto" w:line="240" w:before="0" w:after="0"/>
      <w:ind w:hanging="0" w:left="800" w:right="0"/>
      <w:jc w:val="left"/>
    </w:pPr>
    <w:rPr>
      <w:rFonts w:ascii="XO Thames" w:hAnsi="XO Thames" w:eastAsia="Droid Sans Fallback" w:cs="Droid Sans Devanagari"/>
      <w:color w:val="000000"/>
      <w:spacing w:val="0"/>
      <w:kern w:val="0"/>
      <w:sz w:val="28"/>
      <w:szCs w:val="20"/>
      <w:lang w:val="ru-RU" w:eastAsia="zh-CN" w:bidi="hi-IN"/>
    </w:rPr>
  </w:style>
  <w:style w:type="paragraph" w:styleId="Textbodyindent21">
    <w:name w:val="Text body indent21"/>
    <w:link w:val="Textbodyindent2"/>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Contents921">
    <w:name w:val="Contents 921"/>
    <w:link w:val="Contents92"/>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Internetlink11">
    <w:name w:val="Internet link11"/>
    <w:link w:val="Internetlink1"/>
    <w:qFormat/>
    <w:pPr>
      <w:widowControl/>
      <w:suppressAutoHyphens w:val="true"/>
      <w:bidi w:val="0"/>
      <w:spacing w:lineRule="auto" w:line="240" w:before="0" w:after="0"/>
      <w:ind w:hanging="0" w:left="0" w:right="0"/>
      <w:jc w:val="left"/>
    </w:pPr>
    <w:rPr>
      <w:rFonts w:ascii="Calibri" w:hAnsi="Calibri" w:eastAsia="Droid Sans Fallback" w:cs="Droid Sans Devanagari"/>
      <w:color w:val="0000FF"/>
      <w:spacing w:val="0"/>
      <w:kern w:val="0"/>
      <w:sz w:val="22"/>
      <w:szCs w:val="20"/>
      <w:u w:val="single"/>
      <w:lang w:val="ru-RU" w:eastAsia="zh-CN" w:bidi="hi-IN"/>
    </w:rPr>
  </w:style>
  <w:style w:type="paragraph" w:styleId="11124">
    <w:name w:val="Знак111"/>
    <w:basedOn w:val="Normal"/>
    <w:link w:val="118"/>
    <w:qFormat/>
    <w:pPr>
      <w:spacing w:lineRule="exact" w:line="240" w:before="0" w:after="160"/>
    </w:pPr>
    <w:rPr/>
  </w:style>
  <w:style w:type="paragraph" w:styleId="EndnoteSymbol21">
    <w:name w:val="Endnote Symbol21"/>
    <w:link w:val="EndnoteSymbol2"/>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2"/>
      <w:szCs w:val="20"/>
      <w:vertAlign w:val="superscript"/>
      <w:lang w:val="ru-RU" w:eastAsia="zh-CN" w:bidi="hi-IN"/>
    </w:rPr>
  </w:style>
  <w:style w:type="paragraph" w:styleId="11111111212">
    <w:name w:val="Заголовок1111111121"/>
    <w:basedOn w:val="Normal"/>
    <w:next w:val="BodyText"/>
    <w:link w:val="1111111121"/>
    <w:qFormat/>
    <w:pPr>
      <w:keepNext w:val="true"/>
      <w:spacing w:before="240" w:after="120"/>
    </w:pPr>
    <w:rPr>
      <w:rFonts w:ascii="Liberation Sans" w:hAnsi="Liberation Sans"/>
      <w:sz w:val="28"/>
    </w:rPr>
  </w:style>
  <w:style w:type="paragraph" w:styleId="StrongEmphasis21">
    <w:name w:val="Strong Emphasis21"/>
    <w:link w:val="StrongEmphasis2"/>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b/>
      <w:color w:val="000000"/>
      <w:spacing w:val="0"/>
      <w:kern w:val="0"/>
      <w:sz w:val="22"/>
      <w:szCs w:val="20"/>
      <w:lang w:val="ru-RU" w:eastAsia="zh-CN" w:bidi="hi-IN"/>
    </w:rPr>
  </w:style>
  <w:style w:type="paragraph" w:styleId="7112">
    <w:name w:val="Содержимое врезки711"/>
    <w:basedOn w:val="Normal"/>
    <w:link w:val="711"/>
    <w:qFormat/>
    <w:pPr/>
    <w:rPr/>
  </w:style>
  <w:style w:type="paragraph" w:styleId="Heading113">
    <w:name w:val="Heading 113"/>
    <w:link w:val="Heading111"/>
    <w:qFormat/>
    <w:pPr>
      <w:widowControl/>
      <w:suppressAutoHyphens w:val="true"/>
      <w:bidi w:val="0"/>
      <w:spacing w:lineRule="auto" w:line="240" w:before="0" w:after="0"/>
      <w:ind w:hanging="0" w:left="0" w:right="0"/>
      <w:jc w:val="left"/>
    </w:pPr>
    <w:rPr>
      <w:rFonts w:ascii="Arial" w:hAnsi="Arial" w:eastAsia="Droid Sans Fallback" w:cs="Droid Sans Devanagari"/>
      <w:b/>
      <w:color w:val="000000"/>
      <w:spacing w:val="0"/>
      <w:kern w:val="0"/>
      <w:sz w:val="32"/>
      <w:szCs w:val="20"/>
      <w:lang w:val="ru-RU" w:eastAsia="zh-CN" w:bidi="hi-IN"/>
    </w:rPr>
  </w:style>
  <w:style w:type="paragraph" w:styleId="Revision111">
    <w:name w:val="Revision111"/>
    <w:link w:val="Revision11"/>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2"/>
      <w:szCs w:val="20"/>
      <w:lang w:val="ru-RU" w:eastAsia="zh-CN" w:bidi="hi-IN"/>
    </w:rPr>
  </w:style>
  <w:style w:type="paragraph" w:styleId="Contents721">
    <w:name w:val="Contents 721"/>
    <w:link w:val="Contents72"/>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Heading3121">
    <w:name w:val="Heading 3121"/>
    <w:link w:val="Heading312"/>
    <w:qFormat/>
    <w:pPr>
      <w:widowControl/>
      <w:suppressAutoHyphens w:val="true"/>
      <w:bidi w:val="0"/>
      <w:spacing w:lineRule="auto" w:line="240" w:before="0" w:after="0"/>
      <w:ind w:hanging="0" w:left="0" w:right="0"/>
      <w:jc w:val="left"/>
    </w:pPr>
    <w:rPr>
      <w:rFonts w:ascii="XO Thames" w:hAnsi="XO Thames" w:eastAsia="Droid Sans Fallback" w:cs="Droid Sans Devanagari"/>
      <w:b/>
      <w:color w:val="000000"/>
      <w:spacing w:val="0"/>
      <w:kern w:val="0"/>
      <w:sz w:val="26"/>
      <w:szCs w:val="20"/>
      <w:lang w:val="ru-RU" w:eastAsia="zh-CN" w:bidi="hi-IN"/>
    </w:rPr>
  </w:style>
  <w:style w:type="paragraph" w:styleId="191">
    <w:name w:val="Колонтитул191"/>
    <w:link w:val="19"/>
    <w:qFormat/>
    <w:pPr>
      <w:widowControl/>
      <w:suppressAutoHyphens w:val="true"/>
      <w:bidi w:val="0"/>
      <w:spacing w:lineRule="auto" w:line="240" w:before="0" w:after="0"/>
      <w:ind w:hanging="0" w:left="0" w:right="0"/>
      <w:jc w:val="both"/>
    </w:pPr>
    <w:rPr>
      <w:rFonts w:ascii="XO Thames" w:hAnsi="XO Thames" w:eastAsia="Droid Sans Fallback" w:cs="Droid Sans Devanagari"/>
      <w:color w:val="000000"/>
      <w:spacing w:val="0"/>
      <w:kern w:val="0"/>
      <w:sz w:val="28"/>
      <w:szCs w:val="20"/>
      <w:lang w:val="ru-RU" w:eastAsia="zh-CN" w:bidi="hi-IN"/>
    </w:rPr>
  </w:style>
  <w:style w:type="paragraph" w:styleId="111212">
    <w:name w:val="Указатель11121"/>
    <w:basedOn w:val="Normal"/>
    <w:link w:val="11121"/>
    <w:qFormat/>
    <w:pPr/>
    <w:rPr/>
  </w:style>
  <w:style w:type="paragraph" w:styleId="1711">
    <w:name w:val="Колонтитул1711"/>
    <w:basedOn w:val="Normal"/>
    <w:link w:val="171"/>
    <w:qFormat/>
    <w:pPr/>
    <w:rPr/>
  </w:style>
  <w:style w:type="paragraph" w:styleId="ListParagraph111">
    <w:name w:val="List Paragraph111"/>
    <w:basedOn w:val="Normal"/>
    <w:link w:val="ListParagraph11"/>
    <w:qFormat/>
    <w:pPr>
      <w:spacing w:lineRule="auto" w:line="276" w:before="0" w:after="200"/>
      <w:ind w:hanging="0" w:left="720"/>
      <w:contextualSpacing/>
    </w:pPr>
    <w:rPr>
      <w:rFonts w:ascii="Calibri" w:hAnsi="Calibri"/>
      <w:sz w:val="22"/>
    </w:rPr>
  </w:style>
  <w:style w:type="paragraph" w:styleId="Contents521">
    <w:name w:val="Contents 521"/>
    <w:link w:val="Contents52"/>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Subtitle">
    <w:name w:val="Subtitle"/>
    <w:next w:val="Normal"/>
    <w:uiPriority w:val="11"/>
    <w:qFormat/>
    <w:pPr>
      <w:widowControl/>
      <w:suppressAutoHyphens w:val="true"/>
      <w:bidi w:val="0"/>
      <w:spacing w:lineRule="auto" w:line="240" w:before="0" w:after="0"/>
      <w:ind w:hanging="0" w:left="0" w:right="0"/>
      <w:jc w:val="both"/>
    </w:pPr>
    <w:rPr>
      <w:rFonts w:ascii="XO Thames" w:hAnsi="XO Thames" w:eastAsia="Droid Sans Fallback" w:cs="Droid Sans Devanagari"/>
      <w:i/>
      <w:color w:val="000000"/>
      <w:spacing w:val="0"/>
      <w:kern w:val="0"/>
      <w:sz w:val="24"/>
      <w:szCs w:val="20"/>
      <w:lang w:val="ru-RU" w:eastAsia="zh-CN" w:bidi="hi-IN"/>
    </w:rPr>
  </w:style>
  <w:style w:type="paragraph" w:styleId="Internetlink21">
    <w:name w:val="Internet link21"/>
    <w:link w:val="Internetlink2"/>
    <w:qFormat/>
    <w:pPr>
      <w:widowControl/>
      <w:suppressAutoHyphens w:val="true"/>
      <w:bidi w:val="0"/>
      <w:spacing w:lineRule="auto" w:line="240" w:before="0" w:after="0"/>
      <w:ind w:hanging="0" w:left="0" w:right="0"/>
      <w:jc w:val="left"/>
    </w:pPr>
    <w:rPr>
      <w:rFonts w:ascii="Calibri" w:hAnsi="Calibri" w:eastAsia="Droid Sans Fallback" w:cs="Droid Sans Devanagari"/>
      <w:color w:val="0000FF"/>
      <w:spacing w:val="0"/>
      <w:kern w:val="0"/>
      <w:sz w:val="22"/>
      <w:szCs w:val="20"/>
      <w:u w:val="single"/>
      <w:lang w:val="ru-RU" w:eastAsia="zh-CN" w:bidi="hi-IN"/>
    </w:rPr>
  </w:style>
  <w:style w:type="paragraph" w:styleId="Caption21">
    <w:name w:val="Caption21"/>
    <w:link w:val="Caption2"/>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i/>
      <w:color w:val="000000"/>
      <w:spacing w:val="0"/>
      <w:kern w:val="0"/>
      <w:sz w:val="24"/>
      <w:szCs w:val="20"/>
      <w:lang w:val="ru-RU" w:eastAsia="zh-CN" w:bidi="hi-IN"/>
    </w:rPr>
  </w:style>
  <w:style w:type="paragraph" w:styleId="11125">
    <w:name w:val="Символ сноски111"/>
    <w:link w:val="119"/>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2"/>
      <w:szCs w:val="20"/>
      <w:vertAlign w:val="superscript"/>
      <w:lang w:val="ru-RU" w:eastAsia="zh-CN" w:bidi="hi-IN"/>
    </w:rPr>
  </w:style>
  <w:style w:type="paragraph" w:styleId="Contents421">
    <w:name w:val="Contents 421"/>
    <w:link w:val="Contents42"/>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111110">
    <w:name w:val="Обычный1111"/>
    <w:link w:val="1114"/>
    <w:qFormat/>
    <w:pPr>
      <w:widowControl w:val="false"/>
      <w:suppressAutoHyphens w:val="true"/>
      <w:bidi w:val="0"/>
      <w:spacing w:lineRule="auto" w:line="300" w:before="0" w:after="0"/>
      <w:ind w:firstLine="560" w:left="0" w:right="0"/>
      <w:jc w:val="left"/>
    </w:pPr>
    <w:rPr>
      <w:rFonts w:ascii="Times New Roman" w:hAnsi="Times New Roman" w:eastAsia="Droid Sans Fallback" w:cs="Droid Sans Devanagari"/>
      <w:color w:val="000000"/>
      <w:spacing w:val="0"/>
      <w:kern w:val="0"/>
      <w:sz w:val="22"/>
      <w:szCs w:val="20"/>
      <w:lang w:val="ru-RU" w:eastAsia="zh-CN" w:bidi="hi-IN"/>
    </w:rPr>
  </w:style>
  <w:style w:type="paragraph" w:styleId="Title">
    <w:name w:val="Title"/>
    <w:next w:val="Normal"/>
    <w:uiPriority w:val="10"/>
    <w:qFormat/>
    <w:pPr>
      <w:widowControl/>
      <w:suppressAutoHyphens w:val="true"/>
      <w:bidi w:val="0"/>
      <w:spacing w:lineRule="auto" w:line="240" w:before="567" w:after="567"/>
      <w:ind w:hanging="0" w:left="0" w:right="0"/>
      <w:jc w:val="center"/>
    </w:pPr>
    <w:rPr>
      <w:rFonts w:ascii="XO Thames" w:hAnsi="XO Thames" w:eastAsia="Droid Sans Fallback" w:cs="Droid Sans Devanagari"/>
      <w:b/>
      <w:caps/>
      <w:color w:val="000000"/>
      <w:spacing w:val="0"/>
      <w:kern w:val="0"/>
      <w:sz w:val="40"/>
      <w:szCs w:val="20"/>
      <w:lang w:val="ru-RU" w:eastAsia="zh-CN" w:bidi="hi-IN"/>
    </w:rPr>
  </w:style>
  <w:style w:type="paragraph" w:styleId="1611">
    <w:name w:val="Колонтитул1611"/>
    <w:basedOn w:val="Normal"/>
    <w:link w:val="161"/>
    <w:qFormat/>
    <w:pPr/>
    <w:rPr/>
  </w:style>
  <w:style w:type="paragraph" w:styleId="Style1111">
    <w:name w:val="Style1111"/>
    <w:basedOn w:val="Normal"/>
    <w:link w:val="Style111"/>
    <w:qFormat/>
    <w:pPr>
      <w:widowControl w:val="false"/>
      <w:spacing w:lineRule="exact" w:line="274"/>
      <w:ind w:firstLine="547" w:left="0"/>
      <w:jc w:val="both"/>
    </w:pPr>
    <w:rPr>
      <w:rFonts w:ascii="Calibri" w:hAnsi="Calibri"/>
    </w:rPr>
  </w:style>
  <w:style w:type="paragraph" w:styleId="FootnoteSymbol11">
    <w:name w:val="Footnote Symbol11"/>
    <w:link w:val="FootnoteSymbol1"/>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2"/>
      <w:szCs w:val="20"/>
      <w:vertAlign w:val="superscript"/>
      <w:lang w:val="ru-RU" w:eastAsia="zh-CN" w:bidi="hi-IN"/>
    </w:rPr>
  </w:style>
  <w:style w:type="paragraph" w:styleId="2113">
    <w:name w:val="Колонтитул211"/>
    <w:basedOn w:val="Normal"/>
    <w:link w:val="212"/>
    <w:qFormat/>
    <w:pPr/>
    <w:rPr/>
  </w:style>
  <w:style w:type="paragraph" w:styleId="11126">
    <w:name w:val="Нижний колонтитул Знак111"/>
    <w:basedOn w:val="DefaultParagraphFont111"/>
    <w:link w:val="1110"/>
    <w:qFormat/>
    <w:pPr/>
    <w:rPr/>
  </w:style>
  <w:style w:type="paragraph" w:styleId="Title111">
    <w:name w:val="Title111"/>
    <w:link w:val="Title11"/>
    <w:qFormat/>
    <w:pPr>
      <w:widowControl/>
      <w:suppressAutoHyphens w:val="true"/>
      <w:bidi w:val="0"/>
      <w:spacing w:lineRule="auto" w:line="240" w:before="0" w:after="0"/>
      <w:ind w:hanging="0" w:left="0" w:right="0"/>
      <w:jc w:val="left"/>
    </w:pPr>
    <w:rPr>
      <w:rFonts w:ascii="XO Thames" w:hAnsi="XO Thames" w:eastAsia="Droid Sans Fallback" w:cs="Droid Sans Devanagari"/>
      <w:b/>
      <w:caps/>
      <w:color w:val="000000"/>
      <w:spacing w:val="0"/>
      <w:kern w:val="0"/>
      <w:sz w:val="40"/>
      <w:szCs w:val="20"/>
      <w:lang w:val="ru-RU" w:eastAsia="zh-CN" w:bidi="hi-IN"/>
    </w:rPr>
  </w:style>
  <w:style w:type="paragraph" w:styleId="111111111111111212">
    <w:name w:val="Указатель11111111111111121"/>
    <w:basedOn w:val="Normal"/>
    <w:link w:val="11111111111111121"/>
    <w:qFormat/>
    <w:pPr/>
    <w:rPr/>
  </w:style>
  <w:style w:type="paragraph" w:styleId="Style5111">
    <w:name w:val="Style5111"/>
    <w:basedOn w:val="Normal"/>
    <w:link w:val="Style511"/>
    <w:qFormat/>
    <w:pPr>
      <w:widowControl w:val="false"/>
      <w:spacing w:lineRule="exact" w:line="290"/>
      <w:ind w:firstLine="168" w:left="0"/>
      <w:jc w:val="both"/>
    </w:pPr>
    <w:rPr>
      <w:rFonts w:ascii="Calibri" w:hAnsi="Calibri"/>
    </w:rPr>
  </w:style>
  <w:style w:type="paragraph" w:styleId="120">
    <w:name w:val="Символ концевой сноски1"/>
    <w:link w:val="Style10"/>
    <w:qFormat/>
    <w:pPr>
      <w:widowControl/>
      <w:suppressAutoHyphens w:val="true"/>
      <w:bidi w:val="0"/>
      <w:spacing w:lineRule="auto" w:line="240" w:before="0" w:after="0"/>
      <w:ind w:hanging="0" w:left="0" w:right="0"/>
      <w:jc w:val="left"/>
    </w:pPr>
    <w:rPr>
      <w:rFonts w:ascii="Calibri" w:hAnsi="Calibri" w:eastAsia="Droid Sans Fallback" w:cs="Droid Sans Devanagari" w:asciiTheme="minorAscii" w:hAnsiTheme="minorHAnsi"/>
      <w:color w:val="000000"/>
      <w:spacing w:val="0"/>
      <w:kern w:val="0"/>
      <w:sz w:val="22"/>
      <w:szCs w:val="20"/>
      <w:vertAlign w:val="superscript"/>
      <w:lang w:val="ru-RU" w:eastAsia="zh-CN" w:bidi="hi-IN"/>
    </w:rPr>
  </w:style>
  <w:style w:type="paragraph" w:styleId="Contents33">
    <w:name w:val="Contents 33"/>
    <w:link w:val="Contents31"/>
    <w:qFormat/>
    <w:pPr>
      <w:widowControl/>
      <w:suppressAutoHyphens w:val="true"/>
      <w:bidi w:val="0"/>
      <w:spacing w:lineRule="auto" w:line="240" w:before="0" w:after="0"/>
      <w:ind w:hanging="0" w:left="0" w:right="0"/>
      <w:jc w:val="left"/>
    </w:pPr>
    <w:rPr>
      <w:rFonts w:ascii="XO Thames" w:hAnsi="XO Thames" w:eastAsia="Droid Sans Fallback" w:cs="Droid Sans Devanagari"/>
      <w:color w:val="000000"/>
      <w:spacing w:val="0"/>
      <w:kern w:val="0"/>
      <w:sz w:val="28"/>
      <w:szCs w:val="20"/>
      <w:lang w:val="ru-RU" w:eastAsia="zh-CN" w:bidi="hi-IN"/>
    </w:rPr>
  </w:style>
  <w:style w:type="paragraph" w:styleId="Heading421">
    <w:name w:val="Heading 421"/>
    <w:link w:val="Heading42"/>
    <w:qFormat/>
    <w:pPr>
      <w:widowControl/>
      <w:suppressAutoHyphens w:val="true"/>
      <w:bidi w:val="0"/>
      <w:spacing w:lineRule="auto" w:line="240" w:before="0" w:after="0"/>
      <w:ind w:hanging="0" w:left="0" w:right="0"/>
      <w:jc w:val="left"/>
    </w:pPr>
    <w:rPr>
      <w:rFonts w:ascii="XO Thames" w:hAnsi="XO Thames" w:eastAsia="Droid Sans Fallback" w:cs="Droid Sans Devanagari"/>
      <w:b/>
      <w:color w:val="000000"/>
      <w:spacing w:val="0"/>
      <w:kern w:val="0"/>
      <w:sz w:val="24"/>
      <w:szCs w:val="20"/>
      <w:lang w:val="ru-RU" w:eastAsia="zh-CN" w:bidi="hi-IN"/>
    </w:rPr>
  </w:style>
  <w:style w:type="paragraph" w:styleId="10112">
    <w:name w:val="Колонтитул1011"/>
    <w:basedOn w:val="Normal"/>
    <w:link w:val="1011"/>
    <w:qFormat/>
    <w:pPr/>
    <w:rPr/>
  </w:style>
  <w:style w:type="paragraph" w:styleId="Title21">
    <w:name w:val="Title21"/>
    <w:link w:val="Title2"/>
    <w:qFormat/>
    <w:pPr>
      <w:widowControl/>
      <w:suppressAutoHyphens w:val="true"/>
      <w:bidi w:val="0"/>
      <w:spacing w:lineRule="auto" w:line="240" w:before="0" w:after="0"/>
      <w:ind w:hanging="0" w:left="0" w:right="0"/>
      <w:jc w:val="left"/>
    </w:pPr>
    <w:rPr>
      <w:rFonts w:ascii="XO Thames" w:hAnsi="XO Thames" w:eastAsia="Droid Sans Fallback" w:cs="Droid Sans Devanagari"/>
      <w:b/>
      <w:caps/>
      <w:color w:val="000000"/>
      <w:spacing w:val="0"/>
      <w:kern w:val="0"/>
      <w:sz w:val="40"/>
      <w:szCs w:val="20"/>
      <w:lang w:val="ru-RU" w:eastAsia="zh-CN" w:bidi="hi-IN"/>
    </w:rPr>
  </w:style>
  <w:style w:type="paragraph" w:styleId="FootnoteText">
    <w:name w:val="Footnote Text"/>
    <w:basedOn w:val="Normal"/>
    <w:pPr/>
    <w:rPr/>
  </w:style>
  <w:style w:type="paragraph" w:styleId="Style14">
    <w:name w:val="Содержимое таблицы"/>
    <w:basedOn w:val="Normal"/>
    <w:qFormat/>
    <w:pPr>
      <w:widowControl w:val="false"/>
      <w:suppressLineNumbers/>
    </w:pPr>
    <w:rPr/>
  </w:style>
  <w:style w:type="paragraph" w:styleId="Style15">
    <w:name w:val="Заголовок таблицы"/>
    <w:basedOn w:val="Style14"/>
    <w:qFormat/>
    <w:pPr>
      <w:suppressLineNumbers/>
      <w:jc w:val="center"/>
    </w:pPr>
    <w:rPr>
      <w:b/>
      <w:bCs/>
    </w:rPr>
  </w:style>
  <w:style w:type="paragraph" w:styleId="Style16">
    <w:name w:val="Содержимое врезки"/>
    <w:basedOn w:val="Normal"/>
    <w:qFormat/>
    <w:pPr/>
    <w:rPr/>
  </w:style>
  <w:style w:type="paragraph" w:styleId="BodyText221">
    <w:name w:val="Body Text 221"/>
    <w:basedOn w:val="Normal"/>
    <w:qFormat/>
    <w:pPr>
      <w:tabs>
        <w:tab w:val="clear" w:pos="709"/>
        <w:tab w:val="left" w:pos="284" w:leader="none"/>
      </w:tabs>
      <w:ind w:hanging="284" w:left="284"/>
      <w:jc w:val="both"/>
    </w:pPr>
    <w:rPr/>
  </w:style>
  <w:style w:type="table" w:styleId="Style_191">
    <w:name w:val="Леша8"/>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92">
    <w:name w:val="Леша10"/>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93">
    <w:name w:val="Леша23"/>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94">
    <w:name w:val="Леша22"/>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95">
    <w:name w:val="Леша3"/>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96">
    <w:name w:val="Леша20"/>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97">
    <w:name w:val="Леша17"/>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98">
    <w:name w:val="Леша15"/>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99">
    <w:name w:val="Леша9"/>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00">
    <w:name w:val="Леша4"/>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01">
    <w:name w:val="Леша24"/>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02">
    <w:name w:val="Леша2"/>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03">
    <w:name w:val="Леша14"/>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04">
    <w:name w:val="Сетка таблицы3"/>
    <w:basedOn w:val="Style_7"/>
    <w:pPr>
      <w:spacing w:after="0" w:line="240" w:lineRule="auto"/>
    </w:pPr>
    <w:rPr>
      <w:sz w:val="20"/>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05">
    <w:name w:val="Леша12"/>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06">
    <w:name w:val="Леша21"/>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07">
    <w:name w:val="Леша131"/>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08">
    <w:name w:val="Леша7"/>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09">
    <w:name w:val="Леша19"/>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10">
    <w:name w:val="Леша26"/>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11">
    <w:name w:val="Леша18"/>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12">
    <w:name w:val="Леша11"/>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default="1" w:styleId="Style_7">
    <w:name w:val="Normal Table"/>
    <w:tblPr>
      <w:tblCellMar>
        <w:top w:w="0" w:type="dxa"/>
        <w:left w:w="108" w:type="dxa"/>
        <w:bottom w:w="0" w:type="dxa"/>
        <w:right w:w="108" w:type="dxa"/>
      </w:tblCellMar>
    </w:tblPr>
  </w:style>
  <w:style w:type="table" w:styleId="Style_213">
    <w:name w:val="Леша25"/>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14">
    <w:name w:val="Леша16"/>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15">
    <w:name w:val="Леша5"/>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16">
    <w:name w:val="Леша1"/>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3">
    <w:name w:val="Table Grid"/>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17">
    <w:name w:val="Леша13"/>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18">
    <w:name w:val="Леша6"/>
    <w:basedOn w:val="Style_7"/>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osim.ru/" TargetMode="External"/><Relationship Id="rId3" Type="http://schemas.openxmlformats.org/officeDocument/2006/relationships/hyperlink" Target="consultantplus://offline/ref=8608A915A77589369BD2B7F347595D5ABC538B22E06FA735FD52FF4C23570EP" TargetMode="External"/><Relationship Id="rId4" Type="http://schemas.openxmlformats.org/officeDocument/2006/relationships/hyperlink" Target="consultantplus://offline/ref=D54B536E147478390F4E00EB7DDC3F85EBB1AC050E3F505E03D970FC37B84872C1BD5795E2D383C8K856P" TargetMode="External"/><Relationship Id="rId5" Type="http://schemas.openxmlformats.org/officeDocument/2006/relationships/hyperlink" Target="https://www.rosim.ru/" TargetMode="External"/><Relationship Id="rId6" Type="http://schemas.openxmlformats.org/officeDocument/2006/relationships/hyperlink" Target="https://privatization.lot-online.ru/" TargetMode="External"/><Relationship Id="rId7" Type="http://schemas.openxmlformats.org/officeDocument/2006/relationships/hyperlink" Target="https://tu40.rosim.ru/" TargetMode="External"/><Relationship Id="rId8" Type="http://schemas.openxmlformats.org/officeDocument/2006/relationships/hyperlink" Target="http://www.torgi.gov.ru/" TargetMode="External"/><Relationship Id="rId9" Type="http://schemas.openxmlformats.org/officeDocument/2006/relationships/hyperlink" Target="https://privatization.lot-online.ru/" TargetMode="External"/><Relationship Id="rId10" Type="http://schemas.openxmlformats.org/officeDocument/2006/relationships/hyperlink" Target="https://tu40.rosim.ru/" TargetMode="External"/><Relationship Id="rId11" Type="http://schemas.openxmlformats.org/officeDocument/2006/relationships/hyperlink" Target="mailto:tu40@rosim.gov.ru" TargetMode="External"/><Relationship Id="rId12" Type="http://schemas.openxmlformats.org/officeDocument/2006/relationships/hyperlink" Target="consultantplus://offline/ref=501BA3F115653BC00FEF04340D8D19AE67EC098639EAC2A7067D0DF5BA0235162C220391081048F0E718EE02EEE00A3A5A15823D9387000Cw6b9M"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549</TotalTime>
  <Application>LibreOffice/7.6.0.3$Linux_X86_64 LibreOffice_project/69edd8b8ebc41d00b4de3915dc82f8f0fc3b6265</Application>
  <AppVersion>15.0000</AppVersion>
  <Pages>14</Pages>
  <Words>4863</Words>
  <Characters>35370</Characters>
  <CharactersWithSpaces>40044</CharactersWithSpaces>
  <Paragraphs>305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2026-03-13T15:30:36Z</dcterms:modified>
  <cp:revision>192</cp:revision>
  <dc:subject/>
  <dc:title/>
</cp:coreProperties>
</file>

<file path=docProps/custom.xml><?xml version="1.0" encoding="utf-8"?>
<Properties xmlns="http://schemas.openxmlformats.org/officeDocument/2006/custom-properties" xmlns:vt="http://schemas.openxmlformats.org/officeDocument/2006/docPropsVTypes"/>
</file>