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spacing w:line="240" w:lineRule="auto"/>
        <w:tabs>
          <w:tab w:val="left" w:pos="45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0"/>
        <w:spacing w:line="240" w:lineRule="auto"/>
        <w:tabs>
          <w:tab w:val="left" w:pos="450" w:leader="none"/>
        </w:tabs>
        <w:rPr>
          <w:b/>
          <w:sz w:val="28"/>
        </w:rPr>
      </w:pPr>
      <w:r>
        <w:rPr>
          <w:b/>
          <w:sz w:val="28"/>
        </w:rPr>
        <w:t xml:space="preserve">Методические рекомендации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0"/>
        <w:spacing w:line="240" w:lineRule="auto"/>
        <w:tabs>
          <w:tab w:val="left" w:pos="450" w:leader="none"/>
        </w:tabs>
        <w:rPr>
          <w:b/>
          <w:sz w:val="28"/>
        </w:rPr>
      </w:pPr>
      <w:r>
        <w:rPr>
          <w:b/>
          <w:sz w:val="28"/>
        </w:rPr>
        <w:t xml:space="preserve">по реализации позиции акционера – Российской Федерации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0"/>
        <w:spacing w:line="240" w:lineRule="auto"/>
        <w:tabs>
          <w:tab w:val="left" w:pos="450" w:leader="none"/>
        </w:tabs>
        <w:rPr>
          <w:b/>
          <w:sz w:val="28"/>
        </w:rPr>
      </w:pPr>
      <w:r>
        <w:rPr>
          <w:b/>
          <w:sz w:val="28"/>
        </w:rPr>
        <w:t xml:space="preserve">в отношении сроков подготовки и проведения годовых</w:t>
      </w:r>
      <w:r>
        <w:rPr>
          <w:b/>
          <w:sz w:val="28"/>
        </w:rPr>
        <w:t xml:space="preserve"> заседаний</w:t>
      </w:r>
      <w:r>
        <w:rPr>
          <w:b/>
          <w:sz w:val="28"/>
        </w:rPr>
        <w:t xml:space="preserve"> общих </w:t>
      </w:r>
      <w:r>
        <w:rPr>
          <w:b/>
          <w:sz w:val="28"/>
        </w:rPr>
        <w:br/>
        <w:t xml:space="preserve">со</w:t>
      </w:r>
      <w:r>
        <w:rPr>
          <w:b/>
          <w:sz w:val="28"/>
        </w:rPr>
        <w:t xml:space="preserve">браний акционеров по итогам 202</w:t>
      </w:r>
      <w:r>
        <w:rPr>
          <w:b/>
          <w:sz w:val="28"/>
        </w:rPr>
        <w:t xml:space="preserve">5</w:t>
      </w:r>
      <w:r>
        <w:rPr>
          <w:b/>
          <w:sz w:val="28"/>
        </w:rPr>
        <w:t xml:space="preserve"> года (ГОСА 202</w:t>
      </w:r>
      <w:r>
        <w:rPr>
          <w:b/>
          <w:sz w:val="28"/>
        </w:rPr>
        <w:t xml:space="preserve">6</w:t>
      </w:r>
      <w:r>
        <w:rPr>
          <w:b/>
          <w:sz w:val="28"/>
        </w:rPr>
        <w:t xml:space="preserve">) в акционерных обществах с государственным участием, не включенных в специальный перечень, утвержденный распоряжением Правительства Российской Федерации от 23.01.2003 № 91-р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0"/>
        <w:jc w:val="left"/>
        <w:tabs>
          <w:tab w:val="left" w:pos="450" w:leader="none"/>
        </w:tabs>
        <w:rPr>
          <w:b/>
          <w:bCs/>
          <w:sz w:val="28"/>
          <w:szCs w:val="28"/>
        </w:rPr>
      </w:pPr>
      <w:r>
        <w:rPr>
          <w:b/>
          <w:sz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43"/>
        <w:jc w:val="both"/>
        <w:spacing w:line="360" w:lineRule="auto"/>
        <w:rPr>
          <w:sz w:val="28"/>
        </w:rPr>
      </w:pPr>
      <w:r>
        <w:rPr>
          <w:sz w:val="28"/>
        </w:rPr>
        <w:t xml:space="preserve">1. Настоящие Методические рекомендации по реализации позиции акционера – Российской Федерации в отношении сроков подготовки </w:t>
      </w:r>
      <w:r>
        <w:rPr>
          <w:sz w:val="28"/>
        </w:rPr>
        <w:br/>
        <w:t xml:space="preserve">и проведения годовых</w:t>
      </w:r>
      <w:r>
        <w:rPr>
          <w:sz w:val="28"/>
        </w:rPr>
        <w:t xml:space="preserve"> заседаний</w:t>
      </w:r>
      <w:r>
        <w:rPr>
          <w:sz w:val="28"/>
        </w:rPr>
        <w:t xml:space="preserve"> общих со</w:t>
      </w:r>
      <w:r>
        <w:rPr>
          <w:sz w:val="28"/>
        </w:rPr>
        <w:t xml:space="preserve">браний </w:t>
      </w:r>
      <w:r>
        <w:rPr>
          <w:sz w:val="28"/>
        </w:rPr>
        <w:t xml:space="preserve">акционеров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 </w:t>
      </w:r>
      <w:r>
        <w:rPr>
          <w:sz w:val="28"/>
        </w:rPr>
        <w:t xml:space="preserve">(ГОСА 202</w:t>
      </w:r>
      <w:r>
        <w:rPr>
          <w:sz w:val="28"/>
        </w:rPr>
        <w:t xml:space="preserve">6</w:t>
      </w:r>
      <w:r>
        <w:rPr>
          <w:sz w:val="28"/>
        </w:rPr>
        <w:t xml:space="preserve">) в акционерных обществах с государственным участием, </w:t>
      </w:r>
      <w:r>
        <w:rPr>
          <w:sz w:val="28"/>
        </w:rPr>
        <w:br/>
        <w:t xml:space="preserve">не включенных в специальный перечень, утвержденный распоряжением Правительства Российской Федерации от 23.01.2003 № 91-р </w:t>
      </w:r>
      <w:r>
        <w:rPr>
          <w:sz w:val="28"/>
        </w:rPr>
        <w:br/>
      </w:r>
      <w:r>
        <w:rPr>
          <w:sz w:val="28"/>
        </w:rPr>
        <w:t xml:space="preserve">(далее – методические рекомендации), разработаны с целью оказания методической помощи при подготовке и проведении годовых</w:t>
      </w:r>
      <w:r>
        <w:rPr>
          <w:sz w:val="28"/>
        </w:rPr>
        <w:t xml:space="preserve"> заседаний</w:t>
      </w:r>
      <w:r>
        <w:rPr>
          <w:sz w:val="28"/>
        </w:rPr>
        <w:t xml:space="preserve"> общих собраний акционеров </w:t>
      </w:r>
      <w:r>
        <w:rPr>
          <w:sz w:val="28"/>
        </w:rPr>
        <w:t xml:space="preserve">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 (ГОСА 2026</w:t>
      </w:r>
      <w:r>
        <w:rPr>
          <w:sz w:val="28"/>
        </w:rPr>
        <w:t xml:space="preserve">) в акционерных обществах с государственным участием, не включенных в специальный перечень, утвержденный р</w:t>
      </w:r>
      <w:r>
        <w:rPr>
          <w:sz w:val="28"/>
        </w:rPr>
        <w:t xml:space="preserve">аспоряжением Правительства Российской Федерации от 23.01.2003 № 91-р (далее – АО, общество), в том числе акции которых подлежат отчуждению из федеральной собственности в рамках исполнения прогнозного плана (программы) приватизации федерального имущества.</w:t>
      </w:r>
      <w:r>
        <w:rPr>
          <w:sz w:val="28"/>
        </w:rPr>
      </w:r>
      <w:r>
        <w:rPr>
          <w:sz w:val="28"/>
        </w:rPr>
      </w:r>
    </w:p>
    <w:p>
      <w:pPr>
        <w:ind w:firstLine="743"/>
        <w:jc w:val="both"/>
        <w:spacing w:line="360" w:lineRule="auto"/>
        <w:rPr>
          <w:sz w:val="28"/>
        </w:rPr>
      </w:pPr>
      <w:r>
        <w:rPr>
          <w:sz w:val="28"/>
        </w:rPr>
        <w:t xml:space="preserve">2. ГОСА 202</w:t>
      </w:r>
      <w:r>
        <w:rPr>
          <w:sz w:val="28"/>
        </w:rPr>
        <w:t xml:space="preserve">6</w:t>
      </w:r>
      <w:r>
        <w:rPr>
          <w:sz w:val="28"/>
        </w:rPr>
        <w:t xml:space="preserve"> проводится в срок, установленный Федеральным законом </w:t>
      </w:r>
      <w:r>
        <w:rPr>
          <w:sz w:val="28"/>
        </w:rPr>
        <w:br/>
        <w:t xml:space="preserve">от 26.12.1995 № 208-ФЗ «Об акционерных обществах» (далее – Федеральный закон № 208-ФЗ), не ранее чем через два месяца и не позднее чем через шесть месяцев после окончания отчетного года, если иные требования к сроку </w:t>
      </w:r>
      <w:r>
        <w:rPr>
          <w:sz w:val="28"/>
        </w:rPr>
        <w:br/>
      </w:r>
      <w:r>
        <w:rPr>
          <w:sz w:val="28"/>
        </w:rPr>
        <w:t xml:space="preserve">его проведения в пределах указанного срока не установлены уставом общества.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3. При подготовке к проведению годового </w:t>
      </w:r>
      <w:r>
        <w:rPr>
          <w:sz w:val="28"/>
        </w:rPr>
        <w:t xml:space="preserve">заседания </w:t>
      </w:r>
      <w:r>
        <w:rPr>
          <w:sz w:val="28"/>
        </w:rPr>
        <w:t xml:space="preserve">общего собрания акционеров совет директоров (наблюдательный совет) общества осуществляет действия, предусмотренные Федеральным законом № 208-ФЗ, Положением </w:t>
      </w:r>
      <w:r>
        <w:rPr>
          <w:sz w:val="28"/>
        </w:rPr>
        <w:br/>
      </w:r>
      <w:r>
        <w:rPr>
          <w:sz w:val="28"/>
        </w:rPr>
        <w:t xml:space="preserve">об общих собраниях акционеров, утвержденным письмом Банка России </w:t>
      </w:r>
      <w:r>
        <w:rPr>
          <w:sz w:val="28"/>
        </w:rPr>
        <w:br/>
      </w:r>
      <w:r>
        <w:rPr>
          <w:sz w:val="28"/>
        </w:rPr>
        <w:t xml:space="preserve">от 16.11.2018 № 660-П (действие данного Положения не распространяется </w:t>
      </w:r>
      <w:r>
        <w:rPr>
          <w:sz w:val="28"/>
        </w:rPr>
        <w:br/>
      </w:r>
      <w:r>
        <w:rPr>
          <w:sz w:val="28"/>
        </w:rPr>
        <w:t xml:space="preserve">на общества, </w:t>
      </w:r>
      <w:r>
        <w:rPr>
          <w:sz w:val="28"/>
        </w:rPr>
        <w:t xml:space="preserve">все голосующие акции которых принадлежат одному акционеру), а также информационным письмом Банка России от 19.12.2017 № ИН-06-28/60 </w:t>
      </w:r>
      <w:r>
        <w:rPr>
          <w:sz w:val="28"/>
        </w:rPr>
        <w:br/>
        <w:t xml:space="preserve">«О рекомендациях по подготовке и проведению общего собрания акционеров акционерного общества».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4. АО необходимо придерживаться следующ</w:t>
      </w:r>
      <w:r>
        <w:rPr>
          <w:sz w:val="28"/>
        </w:rPr>
        <w:t xml:space="preserve">его графика подготовки ГОСА 202</w:t>
      </w:r>
      <w:r>
        <w:rPr>
          <w:sz w:val="28"/>
        </w:rPr>
        <w:t xml:space="preserve">6</w:t>
      </w:r>
      <w:r>
        <w:rPr>
          <w:sz w:val="28"/>
        </w:rPr>
        <w:t xml:space="preserve"> (список необходимых документов представлен в приложении </w:t>
      </w:r>
      <w:r>
        <w:rPr>
          <w:sz w:val="28"/>
        </w:rPr>
        <w:br/>
        <w:t xml:space="preserve">к настоящим методическим рекомендациям):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1"/>
        </w:numPr>
        <w:ind w:left="34" w:firstLine="703"/>
        <w:jc w:val="both"/>
        <w:spacing w:line="360" w:lineRule="auto"/>
        <w:rPr>
          <w:sz w:val="28"/>
        </w:rPr>
      </w:pPr>
      <w:r>
        <w:rPr>
          <w:sz w:val="28"/>
        </w:rPr>
        <w:t xml:space="preserve">не позднее 10.04.202</w:t>
      </w:r>
      <w:r>
        <w:rPr>
          <w:sz w:val="28"/>
        </w:rPr>
        <w:t xml:space="preserve">6</w:t>
      </w:r>
      <w:r>
        <w:rPr>
          <w:sz w:val="28"/>
        </w:rPr>
        <w:t xml:space="preserve"> провести конкурс по выбору аудитора </w:t>
      </w:r>
      <w:r>
        <w:br/>
      </w:r>
      <w:r>
        <w:rPr>
          <w:sz w:val="28"/>
        </w:rPr>
        <w:t xml:space="preserve">для утверждения на ГОСА 202</w:t>
      </w:r>
      <w:r>
        <w:rPr>
          <w:sz w:val="28"/>
        </w:rPr>
        <w:t xml:space="preserve">6</w:t>
      </w:r>
      <w:r>
        <w:rPr>
          <w:sz w:val="28"/>
        </w:rPr>
        <w:t xml:space="preserve"> и обеспечить подготовку аудиторского заключения на бухгалтерскую (финансовую) отчетность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 </w:t>
      </w:r>
      <w:r>
        <w:rPr>
          <w:sz w:val="28"/>
        </w:rPr>
        <w:br/>
      </w:r>
      <w:r>
        <w:rPr>
          <w:sz w:val="28"/>
        </w:rPr>
        <w:t xml:space="preserve">вне зависимости от сроков ее направления в налоговые органы.  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 случае, если на годовом </w:t>
      </w:r>
      <w:r>
        <w:rPr>
          <w:sz w:val="28"/>
        </w:rPr>
        <w:t xml:space="preserve">заседании общего собрания</w:t>
      </w:r>
      <w:r>
        <w:rPr>
          <w:sz w:val="28"/>
        </w:rPr>
        <w:t xml:space="preserve"> акционеров </w:t>
      </w:r>
      <w:r>
        <w:rPr>
          <w:sz w:val="28"/>
        </w:rPr>
        <w:br/>
      </w:r>
      <w:r>
        <w:rPr>
          <w:sz w:val="28"/>
        </w:rPr>
        <w:t xml:space="preserve">по итогам 202</w:t>
      </w:r>
      <w:r>
        <w:rPr>
          <w:sz w:val="28"/>
        </w:rPr>
        <w:t xml:space="preserve">4</w:t>
      </w:r>
      <w:r>
        <w:rPr>
          <w:sz w:val="28"/>
        </w:rPr>
        <w:t xml:space="preserve"> года такой аудитор не был утвержден, </w:t>
      </w:r>
      <w:r>
        <w:rPr>
          <w:sz w:val="28"/>
        </w:rPr>
        <w:t xml:space="preserve">обеспечить проведение конкурса </w:t>
      </w:r>
      <w:r>
        <w:rPr>
          <w:sz w:val="28"/>
        </w:rPr>
        <w:t xml:space="preserve">по выбору аудитора. В соответствии с частью </w:t>
      </w:r>
      <w:r>
        <w:rPr>
          <w:sz w:val="28"/>
        </w:rPr>
        <w:t xml:space="preserve">4 статьи 5 Федерального закона </w:t>
      </w:r>
      <w:r>
        <w:rPr>
          <w:sz w:val="28"/>
        </w:rPr>
        <w:t xml:space="preserve">от 30.12.2008 № 307-ФЗ «Об аудиторской деятельности» договор </w:t>
      </w:r>
      <w:r>
        <w:br/>
      </w:r>
      <w:r>
        <w:rPr>
          <w:sz w:val="28"/>
        </w:rPr>
        <w:t xml:space="preserve">на проведение обязательного ауд</w:t>
      </w:r>
      <w:r>
        <w:rPr>
          <w:sz w:val="28"/>
        </w:rPr>
        <w:t xml:space="preserve">ита бухгалтерской (финансовой) отчетности организации, в уставном (складочном) капитале которой доля государственной собственности составляет не менее 25 процентов, заключается по итогам размещения заказа путем проведения торгов в форме </w:t>
      </w:r>
      <w:r>
        <w:rPr>
          <w:sz w:val="28"/>
        </w:rPr>
        <w:t xml:space="preserve">электронного</w:t>
      </w:r>
      <w:r>
        <w:rPr>
          <w:sz w:val="28"/>
        </w:rPr>
        <w:t xml:space="preserve"> конкурса </w:t>
      </w:r>
      <w:r>
        <w:br/>
      </w:r>
      <w:r>
        <w:rPr>
          <w:sz w:val="28"/>
        </w:rPr>
        <w:t xml:space="preserve">в порядке, предусмотренном Федеральным законом от 05.04.2013 № 44-ФЗ </w:t>
      </w:r>
      <w:r>
        <w:br/>
      </w:r>
      <w:r>
        <w:rPr>
          <w:sz w:val="28"/>
        </w:rPr>
        <w:t xml:space="preserve">«О контрактной системе в сфере закупок товаров, работ, услуг </w:t>
      </w:r>
      <w:r>
        <w:br/>
      </w:r>
      <w:r>
        <w:rPr>
          <w:sz w:val="28"/>
        </w:rPr>
        <w:t xml:space="preserve">для государственных и муниципальных нужд».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Единоличному (коллегиальному) исполнительному органу, управляющей организации (далее – исполнительный орган) АО необходимо разместить информационные сообщения о проведении конкурса и провести конкурс</w:t>
      </w:r>
      <w:r>
        <w:rPr>
          <w:sz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4" w:firstLine="709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Совет</w:t>
      </w:r>
      <w:r>
        <w:rPr>
          <w:sz w:val="28"/>
        </w:rPr>
        <w:t xml:space="preserve">у</w:t>
      </w:r>
      <w:r>
        <w:rPr>
          <w:sz w:val="28"/>
        </w:rPr>
        <w:t xml:space="preserve"> директоров (наблюдательн</w:t>
      </w:r>
      <w:r>
        <w:rPr>
          <w:sz w:val="28"/>
        </w:rPr>
        <w:t xml:space="preserve">ому</w:t>
      </w:r>
      <w:r>
        <w:rPr>
          <w:sz w:val="28"/>
        </w:rPr>
        <w:t xml:space="preserve"> совет</w:t>
      </w:r>
      <w:r>
        <w:rPr>
          <w:sz w:val="28"/>
        </w:rPr>
        <w:t xml:space="preserve">у</w:t>
      </w:r>
      <w:r>
        <w:rPr>
          <w:sz w:val="28"/>
        </w:rPr>
        <w:t xml:space="preserve">) общества </w:t>
      </w:r>
      <w:r>
        <w:rPr>
          <w:sz w:val="28"/>
        </w:rPr>
        <w:t xml:space="preserve">следует принять решение о проведении</w:t>
      </w:r>
      <w:r>
        <w:rPr>
          <w:sz w:val="28"/>
        </w:rPr>
        <w:t xml:space="preserve"> внеочередно</w:t>
      </w:r>
      <w:r>
        <w:rPr>
          <w:sz w:val="28"/>
        </w:rPr>
        <w:t xml:space="preserve">го заседания</w:t>
      </w:r>
      <w:r>
        <w:rPr>
          <w:sz w:val="28"/>
        </w:rPr>
        <w:t xml:space="preserve"> обще</w:t>
      </w:r>
      <w:r>
        <w:rPr>
          <w:sz w:val="28"/>
        </w:rPr>
        <w:t xml:space="preserve">го</w:t>
      </w:r>
      <w:r>
        <w:rPr>
          <w:sz w:val="28"/>
        </w:rPr>
        <w:t xml:space="preserve"> собрани</w:t>
      </w:r>
      <w:r>
        <w:rPr>
          <w:sz w:val="28"/>
        </w:rPr>
        <w:t xml:space="preserve">я</w:t>
      </w:r>
      <w:r>
        <w:rPr>
          <w:sz w:val="28"/>
        </w:rPr>
        <w:t xml:space="preserve"> акционеров для утверждения аудитора </w:t>
      </w:r>
      <w:r>
        <w:rPr>
          <w:sz w:val="28"/>
        </w:rPr>
        <w:t xml:space="preserve">(не распространяется на АО, единственным акционером которых является Российская Федерация)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) не позднее 10.04.202</w:t>
      </w:r>
      <w:r>
        <w:rPr>
          <w:sz w:val="28"/>
        </w:rPr>
        <w:t xml:space="preserve">6</w:t>
      </w:r>
      <w:r>
        <w:rPr>
          <w:sz w:val="28"/>
        </w:rPr>
        <w:t xml:space="preserve"> исполнительный орган отчитывается перед советом директоров (наблюдательным совето</w:t>
      </w:r>
      <w:r>
        <w:rPr>
          <w:sz w:val="28"/>
        </w:rPr>
        <w:t xml:space="preserve">м) о ходе подготовки к ГОСА 202</w:t>
      </w:r>
      <w:r>
        <w:rPr>
          <w:sz w:val="28"/>
        </w:rPr>
        <w:t xml:space="preserve">6</w:t>
      </w:r>
      <w:r>
        <w:rPr>
          <w:sz w:val="28"/>
        </w:rPr>
        <w:t xml:space="preserve"> и обеспечивает получение </w:t>
      </w:r>
      <w:r>
        <w:rPr>
          <w:sz w:val="28"/>
        </w:rPr>
        <w:t xml:space="preserve">Росимуществом</w:t>
      </w:r>
      <w:r>
        <w:rPr>
          <w:sz w:val="28"/>
        </w:rPr>
        <w:t xml:space="preserve">, профильными </w:t>
      </w:r>
      <w:r>
        <w:rPr>
          <w:sz w:val="28"/>
        </w:rPr>
        <w:t xml:space="preserve">федеральными органами исполнительной власти</w:t>
      </w:r>
      <w:r>
        <w:rPr>
          <w:sz w:val="28"/>
        </w:rPr>
        <w:t xml:space="preserve"> </w:t>
      </w:r>
      <w:r>
        <w:rPr>
          <w:sz w:val="28"/>
        </w:rPr>
        <w:t xml:space="preserve">и членами совета директоров (наблюдательного совета) материалов, необходимых для подготовки </w:t>
        <w:br/>
        <w:t xml:space="preserve">к проведению </w:t>
      </w:r>
      <w:r>
        <w:rPr>
          <w:sz w:val="28"/>
        </w:rPr>
        <w:t xml:space="preserve">предгодового</w:t>
      </w:r>
      <w:r>
        <w:rPr>
          <w:sz w:val="28"/>
        </w:rPr>
        <w:t xml:space="preserve"> заседания совета директоров (наблюдательного совета). В числе обязательных материалов должны быть направлены: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а)</w:t>
      </w:r>
      <w:r>
        <w:rPr>
          <w:sz w:val="28"/>
        </w:rPr>
        <w:t xml:space="preserve">бухгалтерская (финансовая) отчетность общества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</w:t>
      </w:r>
      <w:r>
        <w:rPr>
          <w:sz w:val="28"/>
        </w:rPr>
        <w:t xml:space="preserve">, аудиторское заключение о такой отчетности, заключение ревизионной комиссии, если в соответствии с уставом общества наличие ревизионной комиссии является обязательным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б) проект годовог</w:t>
      </w:r>
      <w:r>
        <w:rPr>
          <w:sz w:val="28"/>
        </w:rPr>
        <w:t xml:space="preserve">о отчета общества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года, который должен быть утвержден советом директоров </w:t>
      </w:r>
      <w:r>
        <w:rPr>
          <w:sz w:val="28"/>
        </w:rPr>
        <w:t xml:space="preserve">(наблюдательным советом) </w:t>
      </w:r>
      <w:r>
        <w:rPr>
          <w:sz w:val="28"/>
        </w:rPr>
        <w:t xml:space="preserve">в соответствии с Федеральным законом </w:t>
      </w:r>
      <w:r>
        <w:rPr>
          <w:sz w:val="28"/>
        </w:rPr>
        <w:t xml:space="preserve">№ 208-ФЗ не менее чем за 30 дней до даты годового </w:t>
      </w:r>
      <w:r>
        <w:rPr>
          <w:sz w:val="28"/>
        </w:rPr>
        <w:t xml:space="preserve">заседания </w:t>
      </w:r>
      <w:r>
        <w:rPr>
          <w:sz w:val="28"/>
        </w:rPr>
        <w:t xml:space="preserve">общего собрания акционеров;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в) отчет о заключенных обществом в отчетном году </w:t>
      </w:r>
      <w:r>
        <w:rPr>
          <w:sz w:val="28"/>
        </w:rPr>
        <w:t xml:space="preserve">крупных сделках, </w:t>
        <w:br/>
        <w:t xml:space="preserve">а также </w:t>
      </w:r>
      <w:r>
        <w:rPr>
          <w:sz w:val="28"/>
        </w:rPr>
        <w:t xml:space="preserve">сделках, </w:t>
      </w:r>
      <w:r>
        <w:rPr>
          <w:sz w:val="28"/>
        </w:rPr>
        <w:t xml:space="preserve">в совершении которых имеется заинтересованность;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г) проект расп</w:t>
      </w:r>
      <w:r>
        <w:rPr>
          <w:sz w:val="28"/>
        </w:rPr>
        <w:t xml:space="preserve">ределения прибыли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 с учетом мероприятий долгосрочной программы развития общества, утвержденной </w:t>
      </w:r>
      <w:r>
        <w:rPr>
          <w:sz w:val="28"/>
        </w:rPr>
        <w:br/>
        <w:t xml:space="preserve">в соответствии с Методическими рекомендациями по разработке долгосрочных программ развития стратегических акционерных обществ и федеральных государственных унитарных </w:t>
      </w:r>
      <w:r>
        <w:rPr>
          <w:sz w:val="28"/>
        </w:rPr>
        <w:t xml:space="preserve">предприятий, а также акционерных обществ, доля Российской Федерации в уставных капиталах которых в совокупности превышает 50 %, одобренными поручением Правительства Российской Федерации от 15.04.2014 № ИШ-П13-2583 (далее – долгосрочная программа развития),</w:t>
      </w:r>
      <w:r>
        <w:rPr>
          <w:sz w:val="28"/>
        </w:rPr>
        <w:t xml:space="preserve"> в случае, если в обществе утверждена </w:t>
      </w:r>
      <w:r>
        <w:rPr>
          <w:sz w:val="28"/>
        </w:rPr>
        <w:t xml:space="preserve">стратегия</w:t>
      </w:r>
      <w:r>
        <w:rPr>
          <w:sz w:val="28"/>
        </w:rPr>
        <w:t xml:space="preserve"> развития</w:t>
      </w:r>
      <w:r>
        <w:rPr>
          <w:sz w:val="28"/>
        </w:rPr>
        <w:t xml:space="preserve"> </w:t>
      </w:r>
      <w:r>
        <w:rPr>
          <w:sz w:val="28"/>
        </w:rPr>
        <w:br/>
        <w:t xml:space="preserve">в соответствии с положениями методических рекомендаций по разработке </w:t>
      </w:r>
      <w:r>
        <w:rPr>
          <w:sz w:val="28"/>
        </w:rPr>
        <w:br/>
      </w:r>
      <w:r>
        <w:rPr>
          <w:sz w:val="28"/>
        </w:rPr>
        <w:t xml:space="preserve">и утверждению стратегий развития акционерных обществ, акции которых находятся в собственности Российской Федерации, и федеральных </w:t>
      </w:r>
      <w:r>
        <w:rPr>
          <w:sz w:val="28"/>
        </w:rPr>
        <w:t xml:space="preserve">государственных унитарных предприятий, утвержденных распоряжением Правительства Российской Федерации от 15.08.2024 № 2199-р</w:t>
      </w:r>
      <w:r>
        <w:rPr>
          <w:sz w:val="28"/>
        </w:rPr>
        <w:t xml:space="preserve"> </w:t>
      </w:r>
      <w:r>
        <w:rPr>
          <w:sz w:val="28"/>
        </w:rPr>
        <w:t xml:space="preserve">(далее - стратегия развития)</w:t>
      </w:r>
      <w:r>
        <w:rPr>
          <w:sz w:val="28"/>
        </w:rPr>
        <w:t xml:space="preserve">, представить проект распределения прибыли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 </w:t>
        <w:br/>
        <w:t xml:space="preserve">с учетом мероприятий</w:t>
      </w:r>
      <w:r>
        <w:rPr>
          <w:sz w:val="28"/>
        </w:rPr>
        <w:t xml:space="preserve"> стратеги</w:t>
      </w:r>
      <w:r>
        <w:rPr>
          <w:sz w:val="28"/>
        </w:rPr>
        <w:t xml:space="preserve">и развития</w:t>
      </w:r>
      <w:r>
        <w:rPr>
          <w:sz w:val="28"/>
        </w:rPr>
        <w:t xml:space="preserve">, </w:t>
      </w:r>
      <w:r>
        <w:rPr>
          <w:sz w:val="28"/>
        </w:rPr>
        <w:t xml:space="preserve">а также анализ:</w:t>
      </w:r>
      <w:r>
        <w:rPr>
          <w:sz w:val="28"/>
        </w:rPr>
      </w:r>
      <w:r>
        <w:rPr>
          <w:sz w:val="28"/>
        </w:rPr>
      </w:r>
    </w:p>
    <w:p>
      <w:pPr>
        <w:ind w:left="34" w:firstLine="675"/>
        <w:jc w:val="both"/>
        <w:spacing w:line="360" w:lineRule="auto"/>
        <w:rPr>
          <w:sz w:val="28"/>
        </w:rPr>
      </w:pPr>
      <w:r>
        <w:rPr>
          <w:sz w:val="28"/>
        </w:rPr>
        <w:t xml:space="preserve">- п</w:t>
      </w:r>
      <w:r>
        <w:rPr>
          <w:sz w:val="28"/>
        </w:rPr>
        <w:t xml:space="preserve">лановых финансовых показателей акционерного общества, в том числе прибыли на среднесрочный период (не менее 3 лет);</w:t>
      </w:r>
      <w:r>
        <w:rPr>
          <w:sz w:val="28"/>
        </w:rPr>
      </w:r>
      <w:r>
        <w:rPr>
          <w:sz w:val="28"/>
        </w:rPr>
      </w:r>
    </w:p>
    <w:p>
      <w:pPr>
        <w:ind w:left="34" w:firstLine="675"/>
        <w:jc w:val="both"/>
        <w:spacing w:line="360" w:lineRule="auto"/>
        <w:tabs>
          <w:tab w:val="left" w:pos="993" w:leader="none"/>
        </w:tabs>
        <w:rPr>
          <w:sz w:val="28"/>
        </w:rPr>
      </w:pPr>
      <w:r>
        <w:rPr>
          <w:sz w:val="28"/>
        </w:rPr>
        <w:t xml:space="preserve">- экономической эффективности направления чистой прибыли акционерного общества на финансирование инвестиционных проектов и иные цели;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 зависимости доли чистой прибыли, направляемой на выплату дивидендов, от соотношения фактического значения прибыли акционерного общества к ее плановому значению;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 размера заемных средств, используемых для финансирования инвестиционных проектов в случае недостаточности амортизационных ресурсов;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 зависимости размера вознаграждения членов исполнительных органов акционерного общества от достижения плановых показателей деятельности АО;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д) </w:t>
      </w:r>
      <w:r>
        <w:rPr>
          <w:sz w:val="28"/>
        </w:rPr>
        <w:t xml:space="preserve">отче</w:t>
      </w:r>
      <w:r>
        <w:rPr>
          <w:sz w:val="28"/>
        </w:rPr>
        <w:t xml:space="preserve">ты об исполнении долгосрочной программы развития/стратегии развития и о достижении утвержденных ключевых показателей эффективности и функциональных ключевых показателей эффективности в сроки, установленные распоряжениями Правительства Российской Федерации </w:t>
      </w:r>
      <w:r>
        <w:rPr>
          <w:sz w:val="28"/>
        </w:rPr>
        <w:br/>
        <w:t xml:space="preserve">от 27.06.2019 № 1388-р, от 28.12.2020 № 3579-р и поручениями Президента Российской Федерации и Правительства Российской Федерации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е) б</w:t>
      </w:r>
      <w:r>
        <w:rPr>
          <w:sz w:val="28"/>
        </w:rPr>
        <w:t xml:space="preserve">юджет доходов и расходов на 202</w:t>
      </w:r>
      <w:r>
        <w:rPr>
          <w:sz w:val="28"/>
        </w:rPr>
        <w:t xml:space="preserve">6</w:t>
      </w:r>
      <w:r>
        <w:rPr>
          <w:sz w:val="28"/>
        </w:rPr>
        <w:t xml:space="preserve"> год (с поквартальной разбивкой);</w:t>
      </w:r>
      <w:r>
        <w:rPr>
          <w:sz w:val="28"/>
        </w:rPr>
      </w:r>
      <w:r>
        <w:rPr>
          <w:sz w:val="28"/>
        </w:rPr>
      </w:r>
    </w:p>
    <w:p>
      <w:pPr>
        <w:ind w:left="34" w:firstLine="675"/>
        <w:jc w:val="both"/>
        <w:spacing w:line="360" w:lineRule="auto"/>
        <w:tabs>
          <w:tab w:val="left" w:pos="709" w:leader="none"/>
          <w:tab w:val="left" w:pos="993" w:leader="none"/>
        </w:tabs>
        <w:rPr>
          <w:sz w:val="28"/>
        </w:rPr>
      </w:pPr>
      <w:r>
        <w:rPr>
          <w:sz w:val="28"/>
        </w:rPr>
        <w:t xml:space="preserve">ж) бюджет д</w:t>
      </w:r>
      <w:r>
        <w:rPr>
          <w:sz w:val="28"/>
        </w:rPr>
        <w:t xml:space="preserve">вижения денежных средств на 202</w:t>
      </w:r>
      <w:r>
        <w:rPr>
          <w:sz w:val="28"/>
        </w:rPr>
        <w:t xml:space="preserve">6</w:t>
      </w:r>
      <w:r>
        <w:rPr>
          <w:sz w:val="28"/>
        </w:rPr>
        <w:t xml:space="preserve"> год (с поквартальной разбивкой);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з) отчет об использовании прибыли, оставленной в расп</w:t>
      </w:r>
      <w:r>
        <w:rPr>
          <w:sz w:val="28"/>
        </w:rPr>
        <w:t xml:space="preserve">оряжении общества по итогам 202</w:t>
      </w:r>
      <w:r>
        <w:rPr>
          <w:sz w:val="28"/>
        </w:rPr>
        <w:t xml:space="preserve">4</w:t>
      </w:r>
      <w:r>
        <w:rPr>
          <w:sz w:val="28"/>
        </w:rPr>
        <w:t xml:space="preserve"> года в 202</w:t>
      </w:r>
      <w:r>
        <w:rPr>
          <w:sz w:val="28"/>
        </w:rPr>
        <w:t xml:space="preserve">5</w:t>
      </w:r>
      <w:r>
        <w:rPr>
          <w:sz w:val="28"/>
        </w:rPr>
        <w:t xml:space="preserve"> году (с поквартальной разбивкой);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и) проект бюллетеня </w:t>
      </w:r>
      <w:r>
        <w:rPr>
          <w:sz w:val="28"/>
        </w:rPr>
        <w:t xml:space="preserve">для голосования </w:t>
      </w:r>
      <w:r>
        <w:rPr>
          <w:sz w:val="28"/>
        </w:rPr>
        <w:t xml:space="preserve">по вопросам повестки дня общего собрания акционеров с приложением проектов решений по каждому вопросу </w:t>
      </w:r>
      <w:r>
        <w:rPr>
          <w:sz w:val="28"/>
        </w:rPr>
        <w:br/>
      </w:r>
      <w:r>
        <w:rPr>
          <w:sz w:val="28"/>
        </w:rPr>
        <w:t xml:space="preserve">(не распространяется на АО, единственным акционером которых является Российская Федерация)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)</w:t>
      </w:r>
      <w:r>
        <w:rPr>
          <w:sz w:val="28"/>
        </w:rPr>
        <w:t xml:space="preserve"> </w:t>
      </w:r>
      <w:r>
        <w:rPr>
          <w:sz w:val="28"/>
        </w:rPr>
        <w:t xml:space="preserve">п</w:t>
      </w:r>
      <w:r>
        <w:rPr>
          <w:sz w:val="28"/>
        </w:rPr>
        <w:t xml:space="preserve">остановлением Правительства Российской Федерации от 31.12.2010 </w:t>
      </w:r>
      <w:r>
        <w:rPr>
          <w:sz w:val="28"/>
        </w:rPr>
        <w:br/>
        <w:t xml:space="preserve">№ 1214 «О совершенствовании порядка управления акционерными обществами, акции которых находятся в федеральной собственности, </w:t>
      </w:r>
      <w:r>
        <w:br/>
      </w:r>
      <w:r>
        <w:rPr>
          <w:sz w:val="28"/>
        </w:rPr>
        <w:t xml:space="preserve">и федеральными государственными унитарными предприятиями» </w:t>
      </w:r>
      <w:r>
        <w:rPr>
          <w:sz w:val="28"/>
        </w:rPr>
        <w:br/>
      </w:r>
      <w:r>
        <w:rPr>
          <w:sz w:val="28"/>
        </w:rPr>
        <w:t xml:space="preserve">(далее – постановление № 1214), приказом Федерального агентства </w:t>
      </w:r>
      <w:r>
        <w:rPr>
          <w:sz w:val="28"/>
        </w:rPr>
        <w:br/>
      </w:r>
      <w:r>
        <w:rPr>
          <w:sz w:val="28"/>
        </w:rPr>
        <w:t xml:space="preserve">по управлению государственным имуществом от 26.06.2020 № 184 </w:t>
      </w:r>
      <w:r>
        <w:rPr>
          <w:sz w:val="28"/>
        </w:rPr>
        <w:br/>
      </w:r>
      <w:r>
        <w:rPr>
          <w:sz w:val="28"/>
        </w:rPr>
        <w:t xml:space="preserve">«Об утверждении рекомендаций к форме и содержанию годового отчета, предоставляемого акционерным обществом, акции которого находятся </w:t>
      </w:r>
      <w:r>
        <w:rPr>
          <w:sz w:val="28"/>
        </w:rPr>
        <w:br/>
      </w:r>
      <w:r>
        <w:rPr>
          <w:sz w:val="28"/>
        </w:rPr>
        <w:t xml:space="preserve">в федеральной собственности, а также о внесении изменений в Регламент работы пользователей Межведомственного портала по управлению государственной собственностью» (далее – приказ № 184</w:t>
      </w:r>
      <w:r>
        <w:rPr>
          <w:sz w:val="28"/>
        </w:rPr>
        <w:t xml:space="preserve">, годовой отчет</w:t>
      </w:r>
      <w:r>
        <w:rPr>
          <w:sz w:val="28"/>
        </w:rPr>
        <w:t xml:space="preserve">) утверждена примерн</w:t>
      </w:r>
      <w:r>
        <w:rPr>
          <w:sz w:val="28"/>
        </w:rPr>
        <w:t xml:space="preserve">ая структура годового отчета</w:t>
      </w:r>
      <w:r>
        <w:rPr>
          <w:sz w:val="28"/>
        </w:rPr>
        <w:t xml:space="preserve">, согласно которой годовой отчет</w:t>
      </w:r>
      <w:r>
        <w:rPr>
          <w:sz w:val="28"/>
        </w:rPr>
        <w:t xml:space="preserve"> в обязательном порядке должен содержать сведения о фактических результатах исполнения поручений и указаний Президента Российской Федерации и поручений Правительства Российской Федерации.   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Годовой отчет необходимо формировать с учетом изменений, внесенных постановлением Правительства Российской Федерации от </w:t>
      </w:r>
      <w:r>
        <w:rPr>
          <w:sz w:val="28"/>
        </w:rPr>
        <w:t xml:space="preserve">15</w:t>
      </w:r>
      <w:r>
        <w:rPr>
          <w:sz w:val="28"/>
        </w:rPr>
        <w:t xml:space="preserve">.</w:t>
      </w:r>
      <w:r>
        <w:rPr>
          <w:sz w:val="28"/>
        </w:rPr>
        <w:t xml:space="preserve">08</w:t>
      </w:r>
      <w:r>
        <w:rPr>
          <w:sz w:val="28"/>
        </w:rPr>
        <w:t xml:space="preserve">.202</w:t>
      </w:r>
      <w:r>
        <w:rPr>
          <w:sz w:val="28"/>
        </w:rPr>
        <w:t xml:space="preserve">4</w:t>
      </w:r>
      <w:r>
        <w:rPr>
          <w:sz w:val="28"/>
        </w:rPr>
        <w:t xml:space="preserve"> № </w:t>
      </w:r>
      <w:r>
        <w:rPr>
          <w:sz w:val="28"/>
        </w:rPr>
        <w:t xml:space="preserve">1090</w:t>
      </w:r>
      <w:r>
        <w:rPr>
          <w:sz w:val="28"/>
        </w:rPr>
        <w:t xml:space="preserve">.  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)</w:t>
      </w:r>
      <w:r>
        <w:rPr>
          <w:sz w:val="28"/>
        </w:rPr>
        <w:t xml:space="preserve"> </w:t>
      </w:r>
      <w:r>
        <w:rPr>
          <w:sz w:val="28"/>
        </w:rPr>
        <w:t xml:space="preserve">п</w:t>
      </w:r>
      <w:r>
        <w:rPr>
          <w:sz w:val="28"/>
        </w:rPr>
        <w:t xml:space="preserve">еречень актуальных директив Правительства Российской Федерации </w:t>
      </w:r>
      <w:r>
        <w:rPr>
          <w:sz w:val="28"/>
        </w:rPr>
        <w:br/>
        <w:t xml:space="preserve">и Росимущества, а также перечень поручений Президента Российской Федерации и Правительства Российской Федерации, по которым </w:t>
      </w:r>
      <w:r>
        <w:br/>
      </w:r>
      <w:r>
        <w:rPr>
          <w:sz w:val="28"/>
        </w:rPr>
        <w:t xml:space="preserve">в обязательном порядке необходимо отразить информацию о фактических </w:t>
      </w:r>
      <w:r>
        <w:rPr>
          <w:sz w:val="28"/>
        </w:rPr>
        <w:t xml:space="preserve">результатах исполнения, представлен на официальном сайте Росимущества </w:t>
      </w:r>
      <w:r>
        <w:br/>
      </w:r>
      <w:r>
        <w:rPr>
          <w:sz w:val="28"/>
        </w:rPr>
        <w:t xml:space="preserve">по ссылке: </w:t>
      </w:r>
      <w:r>
        <w:rPr>
          <w:sz w:val="28"/>
        </w:rPr>
        <w:t xml:space="preserve">https://rosim.gov.ru/doc/14409/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АО обеспечивае</w:t>
      </w:r>
      <w:r>
        <w:rPr>
          <w:sz w:val="28"/>
        </w:rPr>
        <w:t xml:space="preserve">т размещение всей указанной информации с помощью функционала личных кабинетов АО </w:t>
      </w:r>
      <w:r>
        <w:rPr>
          <w:sz w:val="28"/>
        </w:rPr>
        <w:t xml:space="preserve">на базе Межведомственного портала по управлению государственной собственностью (далее – портал) </w:t>
      </w:r>
      <w:r>
        <w:rPr>
          <w:color w:val="000000" w:themeColor="text1"/>
          <w:sz w:val="28"/>
        </w:rPr>
        <w:t xml:space="preserve">(</w:t>
      </w:r>
      <w:r>
        <w:rPr>
          <w:color w:val="000000" w:themeColor="text1"/>
          <w:sz w:val="28"/>
        </w:rPr>
        <w:t xml:space="preserve">https://mp.rosim.gov.ru/</w:t>
      </w:r>
      <w:r>
        <w:rPr>
          <w:color w:val="000000" w:themeColor="text1"/>
          <w:sz w:val="28"/>
        </w:rPr>
        <w:t xml:space="preserve">)</w:t>
      </w:r>
      <w:r>
        <w:rPr>
          <w:sz w:val="28"/>
        </w:rPr>
        <w:t xml:space="preserve">. Перечень сведений, необходимых для размещения на портале, представлен в приложении </w:t>
      </w:r>
      <w:r>
        <w:rPr>
          <w:sz w:val="28"/>
        </w:rPr>
        <w:t xml:space="preserve">к настоящим методическим рекомендациям.  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 соответствии с п</w:t>
      </w:r>
      <w:r>
        <w:rPr>
          <w:sz w:val="28"/>
        </w:rPr>
        <w:t xml:space="preserve">унктом</w:t>
      </w:r>
      <w:r>
        <w:rPr>
          <w:sz w:val="28"/>
        </w:rPr>
        <w:t xml:space="preserve"> 6 постановления № 1214 представители интересов Российской Федерации в АО обеспечивают мониторинг размещения АО </w:t>
      </w:r>
      <w:r>
        <w:rPr>
          <w:sz w:val="28"/>
        </w:rPr>
        <w:t xml:space="preserve">на </w:t>
      </w:r>
      <w:r>
        <w:rPr>
          <w:sz w:val="28"/>
        </w:rPr>
        <w:t xml:space="preserve">портале информации об исполнении директив Правительства Российской Федерации и директив Росимущества по исполнению поручений Президента Российской Федерации, Правительства Российской Федерации, а также </w:t>
      </w:r>
      <w:r>
        <w:rPr>
          <w:sz w:val="28"/>
        </w:rPr>
        <w:br/>
        <w:t xml:space="preserve">о дочерних хозяйственных обществах, в уставном капитале которых более 50 </w:t>
      </w:r>
      <w:r>
        <w:rPr>
          <w:sz w:val="28"/>
        </w:rPr>
        <w:t xml:space="preserve">процентов</w:t>
      </w:r>
      <w:r>
        <w:rPr>
          <w:sz w:val="28"/>
        </w:rPr>
        <w:t xml:space="preserve"> долей принадлежит акционерным обществам с совокупной долей участия Российской Федерации в уставных капиталах более 50 </w:t>
      </w:r>
      <w:r>
        <w:rPr>
          <w:sz w:val="28"/>
        </w:rPr>
        <w:t xml:space="preserve">процентов.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) в соотве</w:t>
      </w:r>
      <w:r>
        <w:rPr>
          <w:sz w:val="28"/>
        </w:rPr>
        <w:t xml:space="preserve">тствии с пунктом 4 Порядка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обществ, утвержденного постановлением Правительства Российской Федерации </w:t>
      </w:r>
      <w:r>
        <w:br/>
      </w:r>
      <w:r>
        <w:rPr>
          <w:sz w:val="28"/>
        </w:rPr>
        <w:t xml:space="preserve">от 04.10.1999 № 1116 «Об утверждении порядка отчетности руководителей федеральных государственных унитарных предприятий и представителей интересов Росс</w:t>
      </w:r>
      <w:r>
        <w:rPr>
          <w:sz w:val="28"/>
        </w:rPr>
        <w:t xml:space="preserve">и</w:t>
      </w:r>
      <w:r>
        <w:rPr>
          <w:sz w:val="28"/>
        </w:rPr>
        <w:t xml:space="preserve">йской Федерации в органах управления акционерных обществ» представители интересов Российской Федерации в органах управления </w:t>
        <w:br/>
        <w:t xml:space="preserve">АО представляют отчет о своей деятельности в совете директоров (наблюдательном совете) АО путем его размещения в электронной форме </w:t>
      </w:r>
      <w:r>
        <w:br/>
      </w:r>
      <w:r>
        <w:rPr>
          <w:sz w:val="28"/>
        </w:rPr>
        <w:t xml:space="preserve">на портале. Отчет представляется в течение 30 дней по окончании I, II и III кварталов и 90 дней по окончании отчетного года. 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Отчеты о деятельности представителей интересов заполняются в полном объеме в соответствии с требованиями приказа Минэкономразвития России </w:t>
      </w:r>
      <w:r>
        <w:br/>
      </w:r>
      <w:r>
        <w:rPr>
          <w:sz w:val="28"/>
        </w:rPr>
        <w:t xml:space="preserve">от 12.04.2011 № 164 «Об утверждении формы отчета представителей интересов Российской Федерации в органах управления акционерных обществ, акции которых находятся в федеральной собственности, и методических указаний </w:t>
      </w:r>
      <w:r>
        <w:br/>
      </w:r>
      <w:r>
        <w:rPr>
          <w:sz w:val="28"/>
        </w:rPr>
        <w:t xml:space="preserve">по ее заполнению»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) в период с 21.04.202</w:t>
      </w:r>
      <w:r>
        <w:rPr>
          <w:sz w:val="28"/>
        </w:rPr>
        <w:t xml:space="preserve">6</w:t>
      </w:r>
      <w:r>
        <w:rPr>
          <w:sz w:val="28"/>
        </w:rPr>
        <w:t xml:space="preserve"> по 12</w:t>
      </w:r>
      <w:r>
        <w:rPr>
          <w:sz w:val="28"/>
        </w:rPr>
        <w:t xml:space="preserve">.05.202</w:t>
      </w:r>
      <w:r>
        <w:rPr>
          <w:sz w:val="28"/>
        </w:rPr>
        <w:t xml:space="preserve">6</w:t>
      </w:r>
      <w:r>
        <w:rPr>
          <w:sz w:val="28"/>
        </w:rPr>
        <w:t xml:space="preserve"> проводится заседание </w:t>
      </w:r>
      <w:r>
        <w:rPr>
          <w:sz w:val="28"/>
        </w:rPr>
        <w:t xml:space="preserve">предгодового</w:t>
      </w:r>
      <w:r>
        <w:rPr>
          <w:sz w:val="28"/>
        </w:rPr>
        <w:t xml:space="preserve"> совета директоров (наблюдательного совета), на котором рассматриваются </w:t>
        <w:br/>
        <w:t xml:space="preserve">все вопросы, преду</w:t>
      </w:r>
      <w:r>
        <w:rPr>
          <w:sz w:val="28"/>
        </w:rPr>
        <w:t xml:space="preserve">смотренные Федеральным законом </w:t>
      </w:r>
      <w:r>
        <w:rPr>
          <w:sz w:val="28"/>
        </w:rPr>
        <w:t xml:space="preserve">№ 208-ФЗ и планируемые </w:t>
      </w:r>
      <w:r>
        <w:rPr>
          <w:sz w:val="28"/>
        </w:rPr>
        <w:br/>
      </w:r>
      <w:r>
        <w:rPr>
          <w:sz w:val="28"/>
        </w:rPr>
        <w:t xml:space="preserve">к в</w:t>
      </w:r>
      <w:r>
        <w:rPr>
          <w:sz w:val="28"/>
        </w:rPr>
        <w:t xml:space="preserve">несению в повестку дня ГОСА 202</w:t>
      </w:r>
      <w:r>
        <w:rPr>
          <w:sz w:val="28"/>
        </w:rPr>
        <w:t xml:space="preserve">6</w:t>
      </w:r>
      <w:r>
        <w:rPr>
          <w:sz w:val="28"/>
        </w:rPr>
        <w:t xml:space="preserve">, в том числе: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 </w:t>
      </w:r>
      <w:r>
        <w:rPr>
          <w:sz w:val="28"/>
        </w:rPr>
        <w:t xml:space="preserve">способа принятия решений общим собранием акционеров, </w:t>
      </w:r>
      <w:r>
        <w:rPr>
          <w:sz w:val="28"/>
        </w:rPr>
        <w:t xml:space="preserve">даты </w:t>
      </w:r>
      <w:r>
        <w:rPr>
          <w:sz w:val="28"/>
        </w:rPr>
        <w:t xml:space="preserve">и времени </w:t>
      </w:r>
      <w:r>
        <w:rPr>
          <w:sz w:val="28"/>
        </w:rPr>
        <w:t xml:space="preserve">проведения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. Дата проведения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 назначается в сроки, предусмотренные </w:t>
      </w:r>
      <w:r>
        <w:rPr>
          <w:sz w:val="28"/>
        </w:rPr>
        <w:t xml:space="preserve">пунктом 3 </w:t>
      </w:r>
      <w:r>
        <w:rPr>
          <w:sz w:val="28"/>
        </w:rPr>
        <w:t xml:space="preserve">стать</w:t>
      </w:r>
      <w:r>
        <w:rPr>
          <w:sz w:val="28"/>
        </w:rPr>
        <w:t xml:space="preserve">и 47</w:t>
      </w:r>
      <w:r>
        <w:rPr>
          <w:sz w:val="28"/>
        </w:rPr>
        <w:t xml:space="preserve"> </w:t>
      </w:r>
      <w:r>
        <w:rPr>
          <w:sz w:val="28"/>
        </w:rPr>
        <w:t xml:space="preserve">Федерального закона № 208-ФЗ</w:t>
      </w:r>
      <w:r>
        <w:rPr>
          <w:sz w:val="28"/>
        </w:rPr>
        <w:t xml:space="preserve">(данный вопрос не рассматривается в АО, единственным акционером которых является Российская Федерация);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 порядка сообщения акционерам о проведении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 с учетом положений, предусмотренных статьей 52 </w:t>
      </w:r>
      <w:r>
        <w:rPr>
          <w:sz w:val="28"/>
        </w:rPr>
        <w:t xml:space="preserve">Федерального закона </w:t>
        <w:br/>
        <w:t xml:space="preserve">№ 208-ФЗ</w:t>
      </w:r>
      <w:r>
        <w:rPr>
          <w:sz w:val="28"/>
        </w:rPr>
        <w:t xml:space="preserve">, </w:t>
      </w:r>
      <w:r>
        <w:rPr>
          <w:sz w:val="28"/>
        </w:rPr>
        <w:t xml:space="preserve">а также даты</w:t>
      </w:r>
      <w:r>
        <w:rPr>
          <w:sz w:val="28"/>
        </w:rPr>
        <w:t xml:space="preserve">, на которую определяются (фиксируются) лица, имеющие право голоса при принятии решений</w:t>
      </w:r>
      <w:r>
        <w:rPr>
          <w:sz w:val="28"/>
        </w:rPr>
        <w:t xml:space="preserve"> </w:t>
      </w:r>
      <w:r>
        <w:rPr>
          <w:sz w:val="28"/>
        </w:rPr>
        <w:t xml:space="preserve">общ</w:t>
      </w:r>
      <w:r>
        <w:rPr>
          <w:sz w:val="28"/>
        </w:rPr>
        <w:t xml:space="preserve">и</w:t>
      </w:r>
      <w:r>
        <w:rPr>
          <w:sz w:val="28"/>
        </w:rPr>
        <w:t xml:space="preserve">м собрани</w:t>
      </w:r>
      <w:r>
        <w:rPr>
          <w:sz w:val="28"/>
        </w:rPr>
        <w:t xml:space="preserve">ем</w:t>
      </w:r>
      <w:r>
        <w:rPr>
          <w:sz w:val="28"/>
        </w:rPr>
        <w:t xml:space="preserve"> акционеров (данный вопрос не рассматривается в АО, единственным акционером которых является Российская Федерация);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 повестки дня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 (не распространяется </w:t>
        <w:br/>
        <w:t xml:space="preserve">на АО, единственным акционером которых является Российская Федерация);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предварительное утверждение годового отчета по ито</w:t>
      </w:r>
      <w:r>
        <w:rPr>
          <w:sz w:val="28"/>
        </w:rPr>
        <w:t xml:space="preserve">гам деятельности общества в 202</w:t>
      </w:r>
      <w:r>
        <w:rPr>
          <w:sz w:val="28"/>
        </w:rPr>
        <w:t xml:space="preserve">5</w:t>
      </w:r>
      <w:r>
        <w:rPr>
          <w:sz w:val="28"/>
        </w:rPr>
        <w:t xml:space="preserve"> году;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 перечня кандидатур, подлежащих включению в бюллетень для голосования на годовом</w:t>
      </w:r>
      <w:r>
        <w:rPr>
          <w:sz w:val="28"/>
        </w:rPr>
        <w:t xml:space="preserve"> заседании общего собрания</w:t>
      </w:r>
      <w:r>
        <w:rPr>
          <w:sz w:val="28"/>
        </w:rPr>
        <w:t xml:space="preserve"> акционеров по вопросу избрания членов совета директоров (наблюдательного </w:t>
      </w:r>
      <w:r>
        <w:rPr>
          <w:sz w:val="28"/>
        </w:rPr>
        <w:t xml:space="preserve">совета) обществ</w:t>
      </w:r>
      <w:r>
        <w:rPr>
          <w:sz w:val="28"/>
        </w:rPr>
        <w:t xml:space="preserve">а</w:t>
      </w:r>
      <w:r>
        <w:rPr>
          <w:sz w:val="28"/>
        </w:rPr>
        <w:t xml:space="preserve"> (данный вопрос </w:t>
      </w:r>
      <w:r>
        <w:rPr>
          <w:sz w:val="28"/>
        </w:rPr>
        <w:t xml:space="preserve">не рассматривается в АО, единственным акционером которых является Российская Федерация);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 перечня кандидатур, подлежащих включению в бюллетень для голосования на годовом</w:t>
      </w:r>
      <w:r>
        <w:rPr>
          <w:sz w:val="28"/>
        </w:rPr>
        <w:t xml:space="preserve"> заседании общего собрания</w:t>
      </w:r>
      <w:r>
        <w:rPr>
          <w:sz w:val="28"/>
        </w:rPr>
        <w:t xml:space="preserve"> акционеров по вопросу </w:t>
      </w:r>
      <w:r>
        <w:rPr>
          <w:sz w:val="28"/>
        </w:rPr>
        <w:t xml:space="preserve">избрания членов ревизионной комиссии (ревизоров) общества</w:t>
      </w:r>
      <w:r>
        <w:rPr>
          <w:sz w:val="28"/>
        </w:rPr>
        <w:t xml:space="preserve">, </w:t>
      </w:r>
      <w:r>
        <w:rPr>
          <w:sz w:val="28"/>
        </w:rPr>
        <w:t xml:space="preserve">если </w:t>
        <w:br/>
        <w:t xml:space="preserve">в соответствии с уставом общества наличие ревизионной комиссии является обязательным</w:t>
      </w:r>
      <w:r>
        <w:rPr>
          <w:sz w:val="28"/>
        </w:rPr>
        <w:t xml:space="preserve"> (данный вопрос </w:t>
      </w:r>
      <w:r>
        <w:rPr>
          <w:sz w:val="28"/>
        </w:rPr>
        <w:t xml:space="preserve">не рассматривается в АО, единственным акционером которых является Российская Федерация);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утверждение, в случае необходимости, перечня кандидатур, подлежащих включению в бюллетень для голосования на годовом</w:t>
      </w:r>
      <w:r>
        <w:rPr>
          <w:sz w:val="28"/>
        </w:rPr>
        <w:t xml:space="preserve"> заседании общего собрания</w:t>
      </w:r>
      <w:r>
        <w:rPr>
          <w:sz w:val="28"/>
        </w:rPr>
        <w:t xml:space="preserve"> акционеров по вопросу избрания исполнительного органа либо главы коллегиального исполнительного органа общества (данный вопрос </w:t>
      </w:r>
      <w:r>
        <w:rPr>
          <w:sz w:val="28"/>
        </w:rPr>
        <w:br/>
        <w:t xml:space="preserve">не рассматривается в АО, единственным акционером которых является Российская Федерация);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 рекомендаций общему собранию акционеров по размеру дивидендов и порядку их выплаты, а также даты определения </w:t>
      </w:r>
      <w:r>
        <w:rPr>
          <w:sz w:val="28"/>
        </w:rPr>
        <w:t xml:space="preserve">лиц, имеющих право на получение дивидендов. Вопрос по размеру дивидендов </w:t>
      </w:r>
      <w:r>
        <w:rPr>
          <w:sz w:val="28"/>
        </w:rPr>
        <w:br/>
        <w:t xml:space="preserve">и п</w:t>
      </w:r>
      <w:r>
        <w:rPr>
          <w:sz w:val="28"/>
        </w:rPr>
        <w:t xml:space="preserve">орядку их выплаты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 подлежит предварительному рассмотрению на заседании профильного комитета совета директоров (наблюдательного</w:t>
      </w:r>
      <w:r>
        <w:rPr>
          <w:sz w:val="28"/>
        </w:rPr>
        <w:t xml:space="preserve"> совета) АО в срок до 10.04.202</w:t>
      </w:r>
      <w:r>
        <w:rPr>
          <w:sz w:val="28"/>
        </w:rPr>
        <w:t xml:space="preserve">6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предварительно рассмотреть и рекомендовать общему собранию акционеров утвердить</w:t>
      </w:r>
      <w:r>
        <w:rPr>
          <w:sz w:val="28"/>
        </w:rPr>
        <w:t xml:space="preserve"> положени</w:t>
      </w:r>
      <w:r>
        <w:rPr>
          <w:sz w:val="28"/>
        </w:rPr>
        <w:t xml:space="preserve">е</w:t>
      </w:r>
      <w:r>
        <w:rPr>
          <w:sz w:val="28"/>
        </w:rPr>
        <w:t xml:space="preserve"> о вознаграждениях и компенсациях, выплачиваемых членам совета директоров (наблюдательного совета) АО </w:t>
      </w:r>
      <w:r>
        <w:rPr>
          <w:sz w:val="28"/>
        </w:rPr>
        <w:br/>
        <w:t xml:space="preserve">(в случае если данное положение не утверждено);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предварительно рассмотреть и рекомендовать общему собранию акционеров утвердить</w:t>
      </w:r>
      <w:r>
        <w:rPr>
          <w:sz w:val="28"/>
        </w:rPr>
        <w:t xml:space="preserve"> размер</w:t>
      </w:r>
      <w:r>
        <w:rPr>
          <w:sz w:val="28"/>
        </w:rPr>
        <w:t xml:space="preserve"> вознаграждения, выплачиваемого членам совета директоров (наблюдательного совета) АО; 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предварительно рассмотреть и рекомендовать общему собранию акционеров утвердить</w:t>
      </w:r>
      <w:r>
        <w:rPr>
          <w:sz w:val="28"/>
        </w:rPr>
        <w:t xml:space="preserve"> положени</w:t>
      </w:r>
      <w:r>
        <w:rPr>
          <w:sz w:val="28"/>
        </w:rPr>
        <w:t xml:space="preserve">е</w:t>
      </w:r>
      <w:r>
        <w:rPr>
          <w:sz w:val="28"/>
        </w:rPr>
        <w:t xml:space="preserve"> о вознаграждениях и компенсациях, выплачиваемых членам ревизионной комиссии/ревизору АО</w:t>
      </w:r>
      <w:r>
        <w:rPr>
          <w:sz w:val="28"/>
        </w:rPr>
        <w:t xml:space="preserve">, если </w:t>
        <w:br/>
        <w:t xml:space="preserve">в соответствии с уставом общества наличие ревизионной комиссии является обязательным</w:t>
      </w:r>
      <w:r>
        <w:rPr>
          <w:sz w:val="28"/>
        </w:rPr>
        <w:t xml:space="preserve"> (в случае если данное положение не утверждено);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предварительно рассмотреть и рекомендовать общему собранию акционеров утвердить</w:t>
      </w:r>
      <w:r>
        <w:rPr>
          <w:sz w:val="28"/>
        </w:rPr>
        <w:t xml:space="preserve"> размер</w:t>
      </w:r>
      <w:r>
        <w:rPr>
          <w:sz w:val="28"/>
        </w:rPr>
        <w:t xml:space="preserve"> вознаграждения, выплачиваемого членам ревизионной комиссии (ревизору) АО, </w:t>
      </w:r>
      <w:r>
        <w:rPr>
          <w:sz w:val="28"/>
        </w:rPr>
        <w:t xml:space="preserve">если в соответствии с уставом общества наличие ревизионной комиссии является обязательным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утверждение положения об организации деятельности исполнительного органа АО по информационному взаимодействию через портал (в случае если данное положение не утверждено);</w:t>
      </w:r>
      <w:r>
        <w:rPr>
          <w:sz w:val="28"/>
        </w:rPr>
      </w:r>
      <w:commentRangeStart w:id="0"/>
      <w:r>
        <w:rPr>
          <w:sz w:val="28"/>
        </w:rPr>
      </w:r>
      <w:commentRangeEnd w:id="0"/>
      <w:r>
        <w:commentReference w:id="0"/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иные вопросы в случае, если Росимущество своими письмами информировало АО о необходимости включения таких вопросов в повестку дня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7</w:t>
      </w:r>
      <w:r>
        <w:rPr>
          <w:sz w:val="28"/>
        </w:rPr>
        <w:t xml:space="preserve">) при подготовке предложений общему собранию акционеров </w:t>
      </w:r>
      <w:r>
        <w:rPr>
          <w:sz w:val="28"/>
        </w:rPr>
        <w:br/>
        <w:t xml:space="preserve">по распределению чистой прибыли следует исходить из положений, установленных распоряжением Правительства Российской Федерации </w:t>
      </w:r>
      <w:r>
        <w:br/>
      </w:r>
      <w:r>
        <w:rPr>
          <w:sz w:val="28"/>
        </w:rPr>
        <w:t xml:space="preserve">от 29.05.2006 № 774-р (далее – распоряжение от 29.05.2006 № 774-р) (указанные особенности реализации дивидендной политики применяются </w:t>
      </w:r>
      <w:r>
        <w:br/>
      </w:r>
      <w:r>
        <w:rPr>
          <w:sz w:val="28"/>
        </w:rPr>
        <w:t xml:space="preserve">в случае, если отдельными решениями Правительства Российской Федерации </w:t>
      </w:r>
      <w:r>
        <w:br/>
      </w:r>
      <w:r>
        <w:rPr>
          <w:sz w:val="28"/>
        </w:rPr>
        <w:t xml:space="preserve">в отношении АО не предусмотрено иное):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а) по вопросам выплаты дивидендов следует руководствоваться следующими положениями: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направление на выплату дивидендов не менее 50 </w:t>
      </w:r>
      <w:r>
        <w:rPr>
          <w:sz w:val="28"/>
        </w:rPr>
        <w:t xml:space="preserve">процентов</w:t>
      </w:r>
      <w:r>
        <w:rPr>
          <w:sz w:val="28"/>
        </w:rPr>
        <w:t xml:space="preserve"> чистой прибыли АО за год, рассчитанной по данным бухгалтерской (финансовой) отчетности, составленной в соответствии с Федеральным законом </w:t>
      </w:r>
      <w:r>
        <w:rPr>
          <w:sz w:val="28"/>
        </w:rPr>
        <w:t xml:space="preserve">от 06.12.2011 № 402-ФЗ </w:t>
      </w:r>
      <w:r>
        <w:rPr>
          <w:sz w:val="28"/>
        </w:rPr>
        <w:t xml:space="preserve">«О бухгалтерском учете», без учета признанных в составе этой прибыли</w:t>
      </w:r>
      <w:r>
        <w:rPr>
          <w:sz w:val="28"/>
        </w:rPr>
        <w:t xml:space="preserve"> (не применяется по вопросам выплаты дивидендов в акционерных обществах, акции которых находятся </w:t>
      </w:r>
      <w:r>
        <w:rPr>
          <w:sz w:val="28"/>
        </w:rPr>
        <w:t xml:space="preserve">в федеральной собственности, являющихся кредитными организациями):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доходов и расходов, связанных с признанием (восстановлением) убытка </w:t>
      </w:r>
      <w:r>
        <w:rPr>
          <w:sz w:val="28"/>
        </w:rPr>
        <w:br/>
        <w:t xml:space="preserve">от обесценения основных средств и нематериальных активов, а также </w:t>
      </w:r>
      <w:r>
        <w:rPr>
          <w:sz w:val="28"/>
        </w:rPr>
        <w:br/>
        <w:t xml:space="preserve">с их списанием (за исключением списаний, связанных с продажей)</w:t>
      </w:r>
      <w:r>
        <w:rPr>
          <w:sz w:val="28"/>
        </w:rPr>
        <w:t xml:space="preserve"> </w:t>
      </w:r>
      <w:r>
        <w:rPr>
          <w:sz w:val="28"/>
        </w:rPr>
        <w:br/>
        <w:t xml:space="preserve">(не применяется по вопросам выплаты дивидендов в акционерных обществах, акции которых находятся в федеральной собственности, являющихся кредитными организациями)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разницы между оценкой финансовых вложений по текущей рыночной стоимости на отчетную дату и предыдущей их оценкой;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доходов и расходов, связанных с курсовыми разницами;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б) по вопросам распределения чистой прибыли исходить </w:t>
      </w:r>
      <w:r>
        <w:rPr>
          <w:sz w:val="28"/>
        </w:rPr>
        <w:br/>
        <w:t xml:space="preserve">из необходимости принятия решений на основе анализа: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плановых финансовых показателей акционерного общества, в том числе прибыли, на среднесрочный период (не менее 3 лет);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 экономической эффективности направления чистой прибыли </w:t>
        <w:br/>
        <w:t xml:space="preserve">АО </w:t>
      </w:r>
      <w:r>
        <w:rPr>
          <w:sz w:val="28"/>
        </w:rPr>
        <w:t xml:space="preserve">на финансирование инвестиционных проектов и иные планы развития;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 зависимости доли чистой прибыли, направляемой на выплату дивидендов, от соотношения фактического значения прибыли </w:t>
        <w:br/>
        <w:t xml:space="preserve">АО </w:t>
      </w:r>
      <w:r>
        <w:rPr>
          <w:sz w:val="28"/>
        </w:rPr>
        <w:t xml:space="preserve">к ее плановому значению;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tabs>
          <w:tab w:val="left" w:pos="851" w:leader="none"/>
        </w:tabs>
        <w:rPr>
          <w:sz w:val="28"/>
        </w:rPr>
      </w:pPr>
      <w:r>
        <w:rPr>
          <w:sz w:val="28"/>
        </w:rPr>
        <w:t xml:space="preserve">- размера заемных средств, используемых для финансирования инвестиционных проектов в случае недостаточности амортизационных ресурсов;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- зависимости размера вознаграждения членов исполнительных органов АО от достижения плановых показателей деятельности АО.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 качестве обоснования необходимости направления денежных средств по каждой составляющей в структуре распределения чистой прибыли </w:t>
        <w:br/>
        <w:t xml:space="preserve">АО должен быть указан конкретный пункт долгосрочной программы развития</w:t>
      </w:r>
      <w:r>
        <w:rPr>
          <w:sz w:val="28"/>
        </w:rPr>
        <w:t xml:space="preserve">/</w:t>
      </w:r>
      <w:r>
        <w:rPr>
          <w:sz w:val="28"/>
        </w:rPr>
        <w:t xml:space="preserve">стра</w:t>
      </w:r>
      <w:r>
        <w:rPr>
          <w:sz w:val="28"/>
        </w:rPr>
        <w:t xml:space="preserve">тегии</w:t>
      </w:r>
      <w:r>
        <w:rPr>
          <w:sz w:val="28"/>
        </w:rPr>
        <w:t xml:space="preserve"> развития</w:t>
      </w:r>
      <w:r>
        <w:rPr>
          <w:sz w:val="28"/>
        </w:rPr>
        <w:t xml:space="preserve">, инвестиционной программы развития, инновационной программы или иного плана развития АО.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 этом должны быть подробно описаны затраты АО (стоимость оборудования, услуг, поставщиков, подрядчиков), сроки поставки </w:t>
      </w:r>
      <w:r>
        <w:rPr>
          <w:sz w:val="28"/>
        </w:rPr>
        <w:br/>
        <w:t xml:space="preserve">или выполнения работ, источники, размер и сроки экономического эффекта, планируемого от направления денежных средств на конкретные цели, связанные с развитием общества. Кроме того, акционерным обществом должно быть подтверждено целевое использ</w:t>
      </w:r>
      <w:r>
        <w:rPr>
          <w:sz w:val="28"/>
        </w:rPr>
        <w:t xml:space="preserve">ование полученной по итогам 202</w:t>
      </w:r>
      <w:r>
        <w:rPr>
          <w:sz w:val="28"/>
        </w:rPr>
        <w:t xml:space="preserve">4</w:t>
      </w:r>
      <w:r>
        <w:rPr>
          <w:sz w:val="28"/>
        </w:rPr>
        <w:t xml:space="preserve"> года прибыли, направленной на развитие </w:t>
      </w:r>
      <w:r>
        <w:rPr>
          <w:sz w:val="28"/>
        </w:rPr>
        <w:t xml:space="preserve">общества в 202</w:t>
      </w:r>
      <w:r>
        <w:rPr>
          <w:sz w:val="28"/>
        </w:rPr>
        <w:t xml:space="preserve">5</w:t>
      </w:r>
      <w:r>
        <w:rPr>
          <w:sz w:val="28"/>
        </w:rPr>
        <w:t xml:space="preserve"> году.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 соответствии с распоряжением от 29.05.2006 № 774-р акционерному обществу необходимо обеспечить реализацию указанных положений с учетом отдельных решений Правительства Российской Федерации в отношении самих АО и их дочерних обществ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8</w:t>
      </w:r>
      <w:r>
        <w:rPr>
          <w:sz w:val="28"/>
        </w:rPr>
        <w:t xml:space="preserve">) не позднее 15.05.202</w:t>
      </w:r>
      <w:r>
        <w:rPr>
          <w:sz w:val="28"/>
        </w:rPr>
        <w:t xml:space="preserve">6</w:t>
      </w:r>
      <w:r>
        <w:rPr>
          <w:sz w:val="28"/>
        </w:rPr>
        <w:t xml:space="preserve"> АО осуществляет подготовку протокола </w:t>
      </w:r>
      <w:r>
        <w:rPr>
          <w:sz w:val="28"/>
        </w:rPr>
        <w:t xml:space="preserve">предгодового</w:t>
      </w:r>
      <w:r>
        <w:rPr>
          <w:sz w:val="28"/>
        </w:rPr>
        <w:t xml:space="preserve"> заседания совета директоров (наблюдательного совета), представляет его в Росимущество и обеспечивает размещение в личном кабинете общества на портале в карточке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 скан-образа указанного протокола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9</w:t>
      </w:r>
      <w:r>
        <w:rPr>
          <w:sz w:val="28"/>
        </w:rPr>
        <w:t xml:space="preserve">) не позднее 19.05.202</w:t>
      </w:r>
      <w:r>
        <w:rPr>
          <w:sz w:val="28"/>
        </w:rPr>
        <w:t xml:space="preserve">6</w:t>
      </w:r>
      <w:r>
        <w:rPr>
          <w:sz w:val="28"/>
        </w:rPr>
        <w:t xml:space="preserve"> АО обеспечивает получение </w:t>
      </w:r>
      <w:r>
        <w:rPr>
          <w:sz w:val="28"/>
        </w:rPr>
        <w:t xml:space="preserve">Росимуществом</w:t>
      </w:r>
      <w:r>
        <w:rPr>
          <w:sz w:val="28"/>
        </w:rPr>
        <w:t xml:space="preserve"> материалов и информации, необходимых для подготовки к проведению </w:t>
      </w:r>
      <w:r>
        <w:rPr>
          <w:sz w:val="28"/>
        </w:rPr>
        <w:br/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 общества</w:t>
      </w:r>
      <w:r>
        <w:rPr>
          <w:sz w:val="28"/>
        </w:rPr>
        <w:t xml:space="preserve">, в том числе предусмотренных Федеральным законом </w:t>
        <w:br/>
        <w:t xml:space="preserve">№ 208-ФЗ и приложением </w:t>
      </w:r>
      <w:r>
        <w:rPr>
          <w:sz w:val="28"/>
        </w:rPr>
        <w:t xml:space="preserve">к настоящим методическим рекомендациям.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 xml:space="preserve">В соответствии с пунктом 2 статьи 50 Федерального закона </w:t>
      </w:r>
      <w:r>
        <w:rPr>
          <w:sz w:val="28"/>
        </w:rPr>
        <w:br/>
        <w:t xml:space="preserve">№ </w:t>
      </w:r>
      <w:r>
        <w:rPr>
          <w:sz w:val="28"/>
        </w:rPr>
        <w:t xml:space="preserve">208</w:t>
      </w:r>
      <w:r>
        <w:rPr>
          <w:sz w:val="28"/>
        </w:rPr>
        <w:t xml:space="preserve">-ФЗ решения общего собрания акционеров по вопросам об избрании совета директоров (наблюдател</w:t>
      </w:r>
      <w:r>
        <w:rPr>
          <w:sz w:val="28"/>
        </w:rPr>
        <w:t xml:space="preserve">ьного совета) общества, ревизионной комиссии общества, о назначении аудиторской организации (индивидуального аудитора) общества, а также по вопросам, предусмотренным подпунктами 11 пункта 1 статьи 48 </w:t>
      </w:r>
      <w:r>
        <w:rPr>
          <w:sz w:val="28"/>
        </w:rPr>
        <w:t xml:space="preserve">Федерального закона</w:t>
      </w:r>
      <w:r>
        <w:rPr>
          <w:sz w:val="28"/>
        </w:rPr>
        <w:t xml:space="preserve"> 208-ФЗ</w:t>
      </w:r>
      <w:r>
        <w:rPr>
          <w:sz w:val="28"/>
        </w:rPr>
        <w:t xml:space="preserve">, могут приниматься только </w:t>
      </w:r>
      <w:r>
        <w:rPr>
          <w:sz w:val="28"/>
        </w:rPr>
        <w:br/>
        <w:t xml:space="preserve">на заседании общего собрания акционеров, в том числе на заседании общего собрания акционеров, голосование на котором совмещается с заочным голосованием.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6. Акционерные общества в соответствии с постановлением № 1214 представляют сведения и документы, касающиеся подготовки и проведения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, в личных кабинетах АО на портале. 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АО в срок до 10.07.202</w:t>
      </w:r>
      <w:r>
        <w:rPr>
          <w:sz w:val="28"/>
        </w:rPr>
        <w:t xml:space="preserve">6</w:t>
      </w:r>
      <w:r>
        <w:rPr>
          <w:sz w:val="28"/>
        </w:rPr>
        <w:t xml:space="preserve"> обеспечивают</w:t>
      </w:r>
      <w:r>
        <w:rPr>
          <w:sz w:val="28"/>
        </w:rPr>
        <w:t xml:space="preserve"> </w:t>
      </w:r>
      <w:r>
        <w:rPr>
          <w:sz w:val="28"/>
        </w:rPr>
        <w:t xml:space="preserve">создание и заполнение в личном кабинете общества на портале карточки корпоративных мероприятий </w:t>
      </w:r>
      <w:r>
        <w:rPr>
          <w:sz w:val="28"/>
        </w:rPr>
        <w:br/>
        <w:t xml:space="preserve">на основании решений годовых заседаний общих собраний акционеров </w:t>
        <w:br/>
      </w:r>
      <w:r>
        <w:rPr>
          <w:sz w:val="28"/>
        </w:rPr>
        <w:t xml:space="preserve">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О предстоящем корпоративном мероприятии Росимущество уведомляется обществом</w:t>
      </w:r>
      <w:r>
        <w:rPr>
          <w:sz w:val="28"/>
        </w:rPr>
        <w:t xml:space="preserve"> с помощью функционала личных кабинетов на портале. Уведомление акционера осуществляется путем прикрепления в карточке корпоративного мероприятия соответствующих документов и материалов, юридическая значимость которых подтверждается средствами электронной </w:t>
      </w:r>
      <w:r>
        <w:rPr>
          <w:sz w:val="28"/>
        </w:rPr>
        <w:t xml:space="preserve">подписи. Материалы, содержащие сведения конфиденциального характера и/или гриф «Для служебного пользования», представляются </w:t>
      </w:r>
      <w:r>
        <w:br/>
      </w:r>
      <w:r>
        <w:rPr>
          <w:sz w:val="28"/>
        </w:rPr>
        <w:t xml:space="preserve">в Росимущество на бумажных носителях в установленные настоящими методическими рекомендациями сроки. В личном кабинете АО подлежит размещению вся необходимая акционеру информация, в том числе о вопросах повестки дня корпоративного мероприятия.</w:t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r>
        <w:br w:type="page" w:clear="all"/>
      </w:r>
      <w:r/>
    </w:p>
    <w:tbl>
      <w:tblPr>
        <w:tblW w:w="0" w:type="auto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1"/>
        <w:gridCol w:w="4215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jc w:val="center"/>
            </w:pPr>
            <w:r>
              <w:t xml:space="preserve">ПРИЛОЖЕНИЕ</w:t>
            </w:r>
            <w:r/>
          </w:p>
          <w:p>
            <w:pPr>
              <w:jc w:val="center"/>
            </w:pPr>
            <w:r>
              <w:t xml:space="preserve">к Методическим рекомендациям</w:t>
            </w:r>
            <w:r/>
          </w:p>
          <w:p>
            <w:pPr>
              <w:jc w:val="center"/>
            </w:pPr>
            <w:r>
              <w:t xml:space="preserve">по реализации позиции акционера – Российской Федерации в отношении сроков подготовки и проведения</w:t>
            </w:r>
            <w:r/>
          </w:p>
          <w:p>
            <w:pPr>
              <w:jc w:val="center"/>
            </w:pPr>
            <w:r>
              <w:t xml:space="preserve">годовых</w:t>
            </w:r>
            <w:r>
              <w:t xml:space="preserve"> заседаний</w:t>
            </w:r>
            <w:r>
              <w:t xml:space="preserve"> общих собраний акционеров</w:t>
            </w:r>
            <w:r>
              <w:t xml:space="preserve"> </w:t>
            </w:r>
            <w:r>
              <w:t xml:space="preserve">по итогам 202</w:t>
            </w:r>
            <w:r>
              <w:t xml:space="preserve">5</w:t>
            </w:r>
            <w:r>
              <w:t xml:space="preserve"> года (</w:t>
            </w:r>
            <w:r>
              <w:t xml:space="preserve">ГОСА 202</w:t>
            </w:r>
            <w:r>
              <w:t xml:space="preserve">6</w:t>
            </w:r>
            <w:r>
              <w:t xml:space="preserve">) </w:t>
            </w:r>
            <w:r>
              <w:t xml:space="preserve">в акционерных обществах с государственным участием, </w:t>
            </w:r>
            <w:r>
              <w:t xml:space="preserve">не включенных </w:t>
            </w:r>
            <w:r>
              <w:br/>
            </w:r>
            <w:r>
              <w:t xml:space="preserve">в специальный перечень, утвержденный распоряжением Правительства Российской Федерации от 23.01.2003 № 91-р</w:t>
            </w:r>
            <w:r/>
          </w:p>
        </w:tc>
      </w:tr>
    </w:tbl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-630" w:firstLine="630"/>
        <w:jc w:val="center"/>
        <w:spacing w:line="360" w:lineRule="auto"/>
        <w:tabs>
          <w:tab w:val="left" w:pos="450" w:leader="none"/>
        </w:tabs>
        <w:rPr>
          <w:b/>
          <w:sz w:val="28"/>
        </w:rPr>
      </w:pPr>
      <w:r>
        <w:rPr>
          <w:b/>
          <w:sz w:val="28"/>
        </w:rPr>
        <w:t xml:space="preserve">Перечень документов, необходимых для подготовки и проведения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-630" w:firstLine="630"/>
        <w:jc w:val="center"/>
        <w:spacing w:line="360" w:lineRule="auto"/>
        <w:tabs>
          <w:tab w:val="left" w:pos="450" w:leader="none"/>
        </w:tabs>
        <w:rPr>
          <w:b/>
          <w:sz w:val="28"/>
        </w:rPr>
      </w:pPr>
      <w:r>
        <w:rPr>
          <w:b/>
          <w:sz w:val="28"/>
        </w:rPr>
        <w:t xml:space="preserve">ГОСА 202</w:t>
      </w:r>
      <w:r>
        <w:rPr>
          <w:b/>
          <w:sz w:val="28"/>
        </w:rPr>
        <w:t xml:space="preserve">6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851"/>
        <w:jc w:val="both"/>
        <w:spacing w:line="360" w:lineRule="auto"/>
        <w:tabs>
          <w:tab w:val="left" w:pos="450" w:leader="none"/>
        </w:tabs>
        <w:rPr>
          <w:b/>
          <w:sz w:val="28"/>
        </w:rPr>
      </w:pPr>
      <w:r>
        <w:rPr>
          <w:sz w:val="28"/>
        </w:rPr>
        <w:t xml:space="preserve">В целях подготовки и проведения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 посредством личного кабинета АО на межведомственном портале по управлению государственной собственностью </w:t>
      </w:r>
      <w:r>
        <w:rPr>
          <w:sz w:val="28"/>
        </w:rPr>
        <w:t xml:space="preserve">(далее - портал) </w:t>
      </w:r>
      <w:r>
        <w:rPr>
          <w:sz w:val="28"/>
        </w:rPr>
        <w:t xml:space="preserve">в карточке </w:t>
      </w:r>
      <w:r>
        <w:rPr>
          <w:sz w:val="28"/>
        </w:rPr>
        <w:t xml:space="preserve">ГОСА 202</w:t>
      </w:r>
      <w:r>
        <w:rPr>
          <w:sz w:val="28"/>
        </w:rPr>
        <w:t xml:space="preserve">6</w:t>
      </w:r>
      <w:r>
        <w:rPr>
          <w:sz w:val="28"/>
        </w:rPr>
        <w:t xml:space="preserve"> подлежат представлению, в том числе </w:t>
      </w:r>
      <w:bookmarkStart w:id="0" w:name="_GoBack"/>
      <w:r/>
      <w:bookmarkEnd w:id="0"/>
      <w:r>
        <w:rPr>
          <w:sz w:val="28"/>
        </w:rPr>
        <w:t xml:space="preserve">на бумажном носителе, в адрес Росимущества,</w:t>
      </w:r>
      <w:r>
        <w:rPr>
          <w:b/>
          <w:sz w:val="28"/>
        </w:rPr>
        <w:t xml:space="preserve"> </w:t>
        <w:br/>
        <w:t xml:space="preserve">не позднее 19.05.202</w:t>
      </w:r>
      <w:r>
        <w:rPr>
          <w:b/>
          <w:sz w:val="28"/>
        </w:rPr>
        <w:t xml:space="preserve">6</w:t>
      </w:r>
      <w:r>
        <w:rPr>
          <w:b/>
          <w:sz w:val="28"/>
        </w:rPr>
        <w:t xml:space="preserve"> </w:t>
      </w:r>
      <w:r>
        <w:rPr>
          <w:sz w:val="28"/>
        </w:rPr>
        <w:t xml:space="preserve">следующие материалы:</w:t>
      </w:r>
      <w:r>
        <w:rPr>
          <w:b/>
          <w:sz w:val="28"/>
        </w:rPr>
      </w:r>
      <w:r>
        <w:rPr>
          <w:b/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  <w:tab w:val="left" w:pos="1418" w:leader="none"/>
          <w:tab w:val="left" w:pos="1560" w:leader="none"/>
        </w:tabs>
        <w:rPr>
          <w:sz w:val="28"/>
        </w:rPr>
      </w:pPr>
      <w:r>
        <w:rPr>
          <w:sz w:val="28"/>
        </w:rPr>
        <w:t xml:space="preserve">Годовой отч</w:t>
      </w:r>
      <w:r>
        <w:rPr>
          <w:sz w:val="28"/>
        </w:rPr>
        <w:t xml:space="preserve">ет акционерного общества за 202</w:t>
      </w:r>
      <w:r>
        <w:rPr>
          <w:sz w:val="28"/>
        </w:rPr>
        <w:t xml:space="preserve">5</w:t>
      </w:r>
      <w:r>
        <w:rPr>
          <w:sz w:val="28"/>
        </w:rPr>
        <w:t xml:space="preserve"> год. В целях единого подхода к подготовке годового отчета акционерного общества, акции которого находятся в ф</w:t>
      </w:r>
      <w:r>
        <w:rPr>
          <w:sz w:val="28"/>
        </w:rPr>
        <w:t xml:space="preserve">едеральной собственности (далее – общество), годовой отчет подлежит оформлению в соответствии с постановлением Правительства Российской Федерации от 31.12.2010 № 1214 «О совершенствовании порядка управления акционерными обществами, акции которых находятся </w:t>
      </w:r>
      <w:r>
        <w:br/>
      </w:r>
      <w:r>
        <w:rPr>
          <w:sz w:val="28"/>
        </w:rPr>
        <w:t xml:space="preserve">в федеральной собственности, и </w:t>
      </w:r>
      <w:r>
        <w:rPr>
          <w:sz w:val="28"/>
        </w:rPr>
        <w:t xml:space="preserve">федеральными государственными унитарными предприятиями», приказом Федерального агентства по управлению государственным имуществом от 26.06.2020 № 184 «Об утверждении рекомендаций к форме и содержанию годового отчета, предоставляемого акционерным обществом,</w:t>
      </w:r>
      <w:r>
        <w:rPr>
          <w:sz w:val="28"/>
        </w:rPr>
        <w:t xml:space="preserve"> акции которого находятся в федеральной собственности, а также о внесении изменений в Регламент работы пользователей Межведомственного портала по управлению государственной собственностью»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Годовая бухгалтерская (финансовая) отчетность по итогам 202</w:t>
      </w:r>
      <w:r>
        <w:rPr>
          <w:sz w:val="28"/>
        </w:rPr>
        <w:t xml:space="preserve">5</w:t>
      </w:r>
      <w:r>
        <w:rPr>
          <w:sz w:val="28"/>
        </w:rPr>
        <w:t xml:space="preserve"> года с приложением всех форм, заверенных исполнительным органом общества, </w:t>
      </w:r>
      <w:r>
        <w:br/>
      </w:r>
      <w:r>
        <w:rPr>
          <w:sz w:val="28"/>
        </w:rPr>
        <w:t xml:space="preserve">и с отметкой налогового органа, а также пояснительной записки к ним.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993" w:leader="none"/>
          <w:tab w:val="left" w:pos="1276" w:leader="none"/>
        </w:tabs>
        <w:rPr>
          <w:sz w:val="28"/>
        </w:rPr>
      </w:pPr>
      <w:r>
        <w:rPr>
          <w:sz w:val="28"/>
        </w:rPr>
        <w:t xml:space="preserve">Консолидированная отчетность (в случае, если составляется обществом).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Заключение внешнего аудитора по итогам деятельности общества </w:t>
      </w:r>
      <w:r>
        <w:br/>
      </w:r>
      <w:r>
        <w:rPr>
          <w:sz w:val="28"/>
        </w:rPr>
        <w:t xml:space="preserve">за 202</w:t>
      </w:r>
      <w:r>
        <w:rPr>
          <w:sz w:val="28"/>
        </w:rPr>
        <w:t xml:space="preserve">5</w:t>
      </w:r>
      <w:r>
        <w:rPr>
          <w:sz w:val="28"/>
        </w:rPr>
        <w:t xml:space="preserve"> год.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Справка о задолженности по заработной плате, по выплатам </w:t>
      </w:r>
      <w:r>
        <w:rPr>
          <w:sz w:val="28"/>
        </w:rPr>
        <w:br/>
        <w:t xml:space="preserve">в федеральный бюджет и государственные внебюджетные фонды </w:t>
      </w:r>
      <w:r>
        <w:rPr>
          <w:sz w:val="28"/>
        </w:rPr>
        <w:br/>
        <w:t xml:space="preserve">на 31.03.202</w:t>
      </w:r>
      <w:r>
        <w:rPr>
          <w:sz w:val="28"/>
        </w:rPr>
        <w:t xml:space="preserve">6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Проект распределения прибыли (в том числе по выплате дивидендов) и убытков общества по результатам 202</w:t>
      </w:r>
      <w:r>
        <w:rPr>
          <w:sz w:val="28"/>
        </w:rPr>
        <w:t xml:space="preserve">5</w:t>
      </w:r>
      <w:r>
        <w:rPr>
          <w:sz w:val="28"/>
        </w:rPr>
        <w:t xml:space="preserve"> года.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Проект или копию утвержденной долгосрочной программы развития</w:t>
      </w:r>
      <w:r>
        <w:rPr>
          <w:sz w:val="28"/>
        </w:rPr>
        <w:t xml:space="preserve">/стратегии развития</w:t>
      </w:r>
      <w:r>
        <w:rPr>
          <w:sz w:val="28"/>
        </w:rPr>
        <w:t xml:space="preserve"> общества. 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Проект или копию утвержденной инвестиционной программы общества (при наличии). 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Заключение</w:t>
      </w:r>
      <w:r>
        <w:rPr>
          <w:sz w:val="28"/>
        </w:rPr>
        <w:t xml:space="preserve"> ревизионной комиссии общества о результатах проверки финансово-хозяйственной деятельности общества за 202</w:t>
      </w:r>
      <w:r>
        <w:rPr>
          <w:sz w:val="28"/>
        </w:rPr>
        <w:t xml:space="preserve">5</w:t>
      </w:r>
      <w:r>
        <w:rPr>
          <w:sz w:val="28"/>
        </w:rPr>
        <w:t xml:space="preserve"> год</w:t>
      </w:r>
      <w:r>
        <w:rPr>
          <w:sz w:val="28"/>
        </w:rPr>
        <w:t xml:space="preserve"> (</w:t>
      </w:r>
      <w:r>
        <w:rPr>
          <w:sz w:val="28"/>
        </w:rPr>
        <w:t xml:space="preserve">годов</w:t>
      </w:r>
      <w:r>
        <w:rPr>
          <w:sz w:val="28"/>
        </w:rPr>
        <w:t xml:space="preserve">ой</w:t>
      </w:r>
      <w:r>
        <w:rPr>
          <w:sz w:val="28"/>
        </w:rPr>
        <w:t xml:space="preserve"> </w:t>
      </w:r>
      <w:r>
        <w:rPr>
          <w:sz w:val="28"/>
        </w:rPr>
        <w:t xml:space="preserve">бухгалтерской (финансовой) отчетности</w:t>
      </w:r>
      <w:r>
        <w:rPr>
          <w:sz w:val="28"/>
        </w:rPr>
        <w:t xml:space="preserve"> по итогам </w:t>
      </w:r>
      <w:r>
        <w:rPr>
          <w:sz w:val="28"/>
        </w:rPr>
        <w:t xml:space="preserve">2025 года</w:t>
      </w:r>
      <w:r>
        <w:rPr>
          <w:sz w:val="28"/>
        </w:rPr>
        <w:t xml:space="preserve">)</w:t>
      </w:r>
      <w:r>
        <w:rPr>
          <w:sz w:val="28"/>
        </w:rPr>
        <w:t xml:space="preserve">, если </w:t>
        <w:br/>
        <w:t xml:space="preserve">в соответствии с уставом общества наличие ревизионной комиссии является обязательным</w:t>
      </w:r>
      <w:r>
        <w:rPr>
          <w:sz w:val="28"/>
        </w:rPr>
        <w:t xml:space="preserve">. 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highlight w:val="none"/>
        </w:rPr>
        <w:t xml:space="preserve"> Материалы по отбору кандидатов в органы управления и контроля общества (</w:t>
      </w:r>
      <w:r>
        <w:rPr>
          <w:sz w:val="28"/>
          <w:highlight w:val="none"/>
        </w:rPr>
        <w:t xml:space="preserve">заявка кандидата, заполненная на</w:t>
      </w:r>
      <w:r>
        <w:rPr>
          <w:sz w:val="28"/>
          <w:highlight w:val="none"/>
        </w:rPr>
        <w:t xml:space="preserve"> портале, </w:t>
      </w:r>
      <w:r>
        <w:rPr>
          <w:sz w:val="28"/>
          <w:highlight w:val="none"/>
        </w:rPr>
        <w:t xml:space="preserve">анкета кандидата,</w:t>
      </w:r>
      <w:r>
        <w:rPr>
          <w:sz w:val="28"/>
          <w:highlight w:val="none"/>
        </w:rPr>
        <w:t xml:space="preserve"> заполненная и подписанная электронно-цифровой подписью на портале </w:t>
        <w:br/>
        <w:t xml:space="preserve">(в отношен</w:t>
      </w:r>
      <w:r>
        <w:rPr>
          <w:sz w:val="28"/>
          <w:highlight w:val="none"/>
        </w:rPr>
        <w:t xml:space="preserve">и</w:t>
      </w:r>
      <w:r>
        <w:rPr>
          <w:sz w:val="28"/>
          <w:highlight w:val="none"/>
        </w:rPr>
        <w:t xml:space="preserve">и профессиональных поверенных, независимых директоров) </w:t>
        <w:br/>
        <w:t xml:space="preserve">или справка кадровой службы места работы кандидата (в отношении государственных служащих), согласие кандидата на выдвижение в органы управления и контроля, уставные документы с места работы кандидата.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</w:rPr>
        <w:t xml:space="preserve">Материалы по отбору аудиторской организации на 202</w:t>
      </w:r>
      <w:r>
        <w:rPr>
          <w:sz w:val="28"/>
        </w:rPr>
        <w:t xml:space="preserve">6</w:t>
      </w:r>
      <w:r>
        <w:rPr>
          <w:sz w:val="28"/>
        </w:rPr>
        <w:t xml:space="preserve"> год</w:t>
      </w:r>
      <w:r>
        <w:rPr>
          <w:sz w:val="28"/>
        </w:rPr>
        <w:t xml:space="preserve">, в том числе документы, подтверждающие, что аудиторская организация: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numPr>
          <w:ilvl w:val="0"/>
          <w:numId w:val="4"/>
        </w:numPr>
        <w:ind w:left="0" w:right="0" w:firstLine="850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</w:rPr>
        <w:t xml:space="preserve">не н</w:t>
      </w:r>
      <w:r>
        <w:rPr>
          <w:sz w:val="28"/>
        </w:rPr>
        <w:t xml:space="preserve">аходится в соответствии с постановлением Правительства Российской Федерации от 19.04.2021 № 622 «Об ограничениях на предоставление информации и документации аудиторской организации, индивидуальному аудитору» (далее - Постановление № 622) под прямым или кос</w:t>
      </w:r>
      <w:r>
        <w:rPr>
          <w:sz w:val="28"/>
        </w:rPr>
        <w:t xml:space="preserve">в</w:t>
      </w:r>
      <w:r>
        <w:rPr>
          <w:sz w:val="28"/>
        </w:rPr>
        <w:t xml:space="preserve">енным контролем иностранного гражданина, лица без гражданства, иностранного юридического лица, международной компании либо входящей </w:t>
        <w:br/>
        <w:t xml:space="preserve">в одну группу лиц с иностранным гражданином, лицом без гражданства, иностранным юридическим лицом, международной компанией;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numPr>
          <w:ilvl w:val="0"/>
          <w:numId w:val="4"/>
        </w:numPr>
        <w:ind w:left="0" w:right="0" w:firstLine="850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</w:rPr>
        <w:t xml:space="preserve">является в соответствии со статьей 8 Федерального закона </w:t>
        <w:br/>
        <w:t xml:space="preserve">от 30.12.2008 № 307-ФЗ «Об аудиторской деятельности» независимой </w:t>
        <w:br/>
        <w:t xml:space="preserve">по отношению к организации;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numPr>
          <w:ilvl w:val="0"/>
          <w:numId w:val="4"/>
        </w:numPr>
        <w:ind w:left="0" w:right="0" w:firstLine="850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</w:rPr>
        <w:t xml:space="preserve">имеет допуск к проведению работ, связанн</w:t>
      </w:r>
      <w:r>
        <w:rPr>
          <w:sz w:val="28"/>
        </w:rPr>
        <w:t xml:space="preserve">ых с использованием сведений, составляющих государственную тайну (в случае если проведение аудита бухгалтерской (финансовой) отчетности и консолидированной финансовой отчетности организации необходим доступ к сведениям, составляющим государственную тайну).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highlight w:val="none"/>
        </w:rPr>
        <w:t xml:space="preserve">Дополнительно в отношении аудиторской организации должны быть представлены: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numPr>
          <w:ilvl w:val="0"/>
          <w:numId w:val="4"/>
        </w:numPr>
        <w:ind w:left="0" w:right="0" w:firstLine="850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</w:rPr>
        <w:t xml:space="preserve">сведения Реестра деклараций аудиторских организаций по вопросу наличия (отсутствия) признаков, определенных Постановлением № 622, предоставляемые Саморегулируемой организацией аудиторов Ассоциацией «Содружество»;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numPr>
          <w:ilvl w:val="0"/>
          <w:numId w:val="4"/>
        </w:numPr>
        <w:ind w:left="0" w:right="0" w:firstLine="850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</w:rPr>
        <w:t xml:space="preserve">декларация аудиторской организации по вопросу наличия (отсутствия) признаков, определенных </w:t>
      </w:r>
      <w:r>
        <w:rPr>
          <w:sz w:val="28"/>
        </w:rPr>
        <w:t xml:space="preserve">Постановлением № 622</w:t>
      </w:r>
      <w:r>
        <w:rPr>
          <w:sz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numPr>
          <w:ilvl w:val="0"/>
          <w:numId w:val="4"/>
        </w:numPr>
        <w:ind w:left="0" w:right="0" w:firstLine="850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</w:rPr>
        <w:t xml:space="preserve">информацию о предпринятых обществом мерах при проведении открытого конкурса в эл</w:t>
      </w:r>
      <w:r>
        <w:rPr>
          <w:sz w:val="28"/>
        </w:rPr>
        <w:t xml:space="preserve">ектронной форме по отбору аудиторской организации на оказание услуг по проведению обязательного аудита бухгалтерской (финансовой) отчетности для проверки аудиторских организаций, участвовавших в конкурсе, на предмет соблюдения ими условий, предусмотренных </w:t>
      </w:r>
      <w:r>
        <w:rPr>
          <w:sz w:val="28"/>
        </w:rPr>
        <w:t xml:space="preserve">Постановлением № 622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 Заверенная исполнительным органом копия устава общества. 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  <w:tab w:val="left" w:pos="1560" w:leader="none"/>
          <w:tab w:val="left" w:pos="1843" w:leader="none"/>
        </w:tabs>
        <w:rPr>
          <w:sz w:val="28"/>
        </w:rPr>
      </w:pPr>
      <w:r>
        <w:rPr>
          <w:sz w:val="28"/>
        </w:rPr>
        <w:t xml:space="preserve">Отчет о заключенных </w:t>
      </w:r>
      <w:r>
        <w:rPr>
          <w:sz w:val="28"/>
        </w:rPr>
        <w:t xml:space="preserve">публичным </w:t>
      </w:r>
      <w:r>
        <w:rPr>
          <w:sz w:val="28"/>
        </w:rPr>
        <w:t xml:space="preserve">обществом в отчетном году сделках, </w:t>
      </w:r>
      <w:r>
        <w:rPr>
          <w:sz w:val="28"/>
        </w:rPr>
        <w:t xml:space="preserve">в совершении которых имеется заинтересованность. 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Выписка из реестра акционеров общества на пакет акций, принадлежащий Российской Федерации.  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ind w:left="0" w:firstLine="851"/>
        <w:jc w:val="both"/>
        <w:spacing w:line="360" w:lineRule="auto"/>
        <w:tabs>
          <w:tab w:val="left" w:pos="1276" w:leader="none"/>
        </w:tabs>
        <w:rPr>
          <w:sz w:val="28"/>
        </w:rPr>
      </w:pPr>
      <w:r>
        <w:rPr>
          <w:sz w:val="28"/>
        </w:rPr>
        <w:t xml:space="preserve">Копии протоколов заседаний совета директоров </w:t>
      </w:r>
      <w:r>
        <w:rPr>
          <w:sz w:val="28"/>
        </w:rPr>
        <w:t xml:space="preserve">(наблюдательного совета) </w:t>
      </w:r>
      <w:r>
        <w:rPr>
          <w:sz w:val="28"/>
        </w:rPr>
        <w:t xml:space="preserve">общества, </w:t>
      </w:r>
      <w:r>
        <w:rPr>
          <w:sz w:val="28"/>
        </w:rPr>
        <w:t xml:space="preserve">на которых приняты решения об утверждении вопросов повестки дня годового </w:t>
      </w:r>
      <w:r>
        <w:rPr>
          <w:sz w:val="28"/>
        </w:rPr>
        <w:t xml:space="preserve">заседания </w:t>
      </w:r>
      <w:r>
        <w:rPr>
          <w:sz w:val="28"/>
        </w:rPr>
        <w:t xml:space="preserve">общего собрания акционеров (данные документы не представляются </w:t>
      </w:r>
      <w:r>
        <w:rPr>
          <w:sz w:val="28"/>
        </w:rPr>
        <w:t xml:space="preserve">акционерными обществами, единственным акционером которых является Российская Федерация), о предварительном утверждении годового отчета общества за 202</w:t>
      </w:r>
      <w:r>
        <w:rPr>
          <w:sz w:val="28"/>
        </w:rPr>
        <w:t xml:space="preserve">5</w:t>
      </w:r>
      <w:r>
        <w:rPr>
          <w:sz w:val="28"/>
        </w:rPr>
        <w:t xml:space="preserve"> год и о рекомендациях общему собранию акционеров </w:t>
      </w:r>
      <w:r>
        <w:rPr>
          <w:sz w:val="28"/>
        </w:rPr>
        <w:t xml:space="preserve">о размере дивидендов общества за 202</w:t>
      </w:r>
      <w:r>
        <w:rPr>
          <w:sz w:val="28"/>
        </w:rPr>
        <w:t xml:space="preserve">5</w:t>
      </w:r>
      <w:r>
        <w:rPr>
          <w:sz w:val="28"/>
        </w:rPr>
        <w:t xml:space="preserve"> год, </w:t>
        <w:br/>
        <w:t xml:space="preserve">об утверждении перечня кандидатур, подлежащих включению в бюллетень для голосования на годовом </w:t>
      </w:r>
      <w:r>
        <w:rPr>
          <w:sz w:val="28"/>
        </w:rPr>
        <w:t xml:space="preserve">заседании общего собрания</w:t>
      </w:r>
      <w:r>
        <w:rPr>
          <w:sz w:val="28"/>
        </w:rPr>
        <w:t xml:space="preserve"> акционеров по вопросу избрания членов совета директоров (наблюдательного совета) и ревизионной комиссии общества</w:t>
      </w:r>
      <w:r>
        <w:rPr>
          <w:sz w:val="28"/>
        </w:rPr>
        <w:t xml:space="preserve">, </w:t>
      </w:r>
      <w:r>
        <w:rPr>
          <w:sz w:val="28"/>
        </w:rPr>
        <w:t xml:space="preserve">если в соответствии с уставом общества наличие ревизионной комиссии является обязательным</w:t>
      </w:r>
      <w:r>
        <w:rPr>
          <w:sz w:val="28"/>
        </w:rPr>
        <w:t xml:space="preserve"> (данные документы </w:t>
        <w:br/>
        <w:t xml:space="preserve">не представляются акционерными обществами, единственным акционером которых является Российская Федерация), </w:t>
      </w:r>
      <w:r>
        <w:rPr>
          <w:sz w:val="28"/>
        </w:rPr>
        <w:t xml:space="preserve">об утверждении кандидатур для избрания исполнительного органа общества, </w:t>
      </w:r>
      <w:r>
        <w:rPr>
          <w:sz w:val="28"/>
        </w:rPr>
        <w:t xml:space="preserve">об утверждении формы и текста бюллетеней для голосования (данные документы не представляются акционерными обществами, единственным акционером которых является Российская Федерация).  </w:t>
      </w:r>
      <w:r>
        <w:rPr>
          <w:sz w:val="28"/>
        </w:rPr>
      </w:r>
      <w:r>
        <w:rPr>
          <w:sz w:val="28"/>
        </w:rPr>
      </w:r>
    </w:p>
    <w:p>
      <w:pPr>
        <w:ind w:firstLine="851"/>
        <w:jc w:val="both"/>
        <w:spacing w:line="360" w:lineRule="auto"/>
        <w:tabs>
          <w:tab w:val="left" w:pos="450" w:leader="none"/>
        </w:tabs>
        <w:rPr>
          <w:b/>
          <w:sz w:val="28"/>
        </w:rPr>
      </w:pPr>
      <w:r>
        <w:rPr>
          <w:sz w:val="28"/>
        </w:rPr>
        <w:t xml:space="preserve">Материалы, содержащие сведения конфиденциального характера </w:t>
      </w:r>
      <w:r>
        <w:rPr>
          <w:sz w:val="28"/>
        </w:rPr>
        <w:br/>
      </w:r>
      <w:r>
        <w:rPr>
          <w:sz w:val="28"/>
        </w:rPr>
        <w:t xml:space="preserve">и/или гриф «Для служебного пользования», подлежат представлению </w:t>
      </w:r>
      <w:r>
        <w:rPr>
          <w:sz w:val="28"/>
        </w:rPr>
        <w:br/>
      </w:r>
      <w:r>
        <w:rPr>
          <w:sz w:val="28"/>
        </w:rPr>
        <w:t xml:space="preserve">в Росимущество на бумажных носителях </w:t>
      </w:r>
      <w:r>
        <w:rPr>
          <w:b/>
          <w:sz w:val="28"/>
        </w:rPr>
        <w:t xml:space="preserve">не позднее 21</w:t>
      </w:r>
      <w:r>
        <w:rPr>
          <w:b/>
          <w:sz w:val="28"/>
        </w:rPr>
        <w:t xml:space="preserve">.05.202</w:t>
      </w:r>
      <w:r>
        <w:rPr>
          <w:b/>
          <w:sz w:val="28"/>
        </w:rPr>
        <w:t xml:space="preserve">6</w:t>
      </w:r>
      <w:r>
        <w:rPr>
          <w:b/>
          <w:sz w:val="28"/>
        </w:rPr>
        <w:t xml:space="preserve">.</w:t>
      </w:r>
      <w:r>
        <w:rPr>
          <w:b/>
          <w:sz w:val="28"/>
        </w:rPr>
        <w:t xml:space="preserve">  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34" w:firstLine="709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seniya.rodina" w:date="2026-03-17T16:27:14Z" w:initials="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ошибочно указана ссылка на статью, считаю целесообразным убрать данный пункт, так как рассмотрение данных вопросов в рамках ГОСА не является обязательным, а также с тем, что указанные вопросы логично отнести к следующему подпункту "иные вопросы, в случа..."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Также предлагаю аналогичный пункт убрать из приложения 1 к письму в адрес 91-р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64BE69" w16cex:dateUtc="2026-03-17T13:27: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4064BE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seniya.rodina">
    <w15:presenceInfo w15:providerId="Teamlab" w15:userId="kseniya.rod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50"/>
    <w:link w:val="845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50"/>
    <w:link w:val="846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850"/>
    <w:link w:val="847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850"/>
    <w:link w:val="848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850"/>
    <w:link w:val="84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44"/>
    <w:next w:val="84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0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44"/>
    <w:next w:val="84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0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44"/>
    <w:next w:val="84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0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44"/>
    <w:next w:val="84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0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character" w:styleId="700">
    <w:name w:val="Title Char"/>
    <w:basedOn w:val="850"/>
    <w:link w:val="910"/>
    <w:uiPriority w:val="10"/>
    <w:rPr>
      <w:sz w:val="48"/>
      <w:szCs w:val="48"/>
    </w:rPr>
  </w:style>
  <w:style w:type="character" w:styleId="701">
    <w:name w:val="Subtitle Char"/>
    <w:basedOn w:val="850"/>
    <w:link w:val="908"/>
    <w:uiPriority w:val="11"/>
    <w:rPr>
      <w:sz w:val="24"/>
      <w:szCs w:val="24"/>
    </w:rPr>
  </w:style>
  <w:style w:type="paragraph" w:styleId="702">
    <w:name w:val="Quote"/>
    <w:basedOn w:val="844"/>
    <w:next w:val="84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44"/>
    <w:next w:val="84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0"/>
    <w:link w:val="868"/>
    <w:uiPriority w:val="99"/>
  </w:style>
  <w:style w:type="character" w:styleId="707">
    <w:name w:val="Footer Char"/>
    <w:basedOn w:val="850"/>
    <w:link w:val="904"/>
    <w:uiPriority w:val="99"/>
  </w:style>
  <w:style w:type="paragraph" w:styleId="708">
    <w:name w:val="Caption"/>
    <w:basedOn w:val="844"/>
    <w:next w:val="84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0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4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0"/>
    <w:uiPriority w:val="99"/>
    <w:unhideWhenUsed/>
    <w:rPr>
      <w:vertAlign w:val="superscript"/>
    </w:rPr>
  </w:style>
  <w:style w:type="paragraph" w:styleId="839">
    <w:name w:val="endnote text"/>
    <w:basedOn w:val="84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0"/>
    <w:uiPriority w:val="99"/>
    <w:semiHidden/>
    <w:unhideWhenUsed/>
    <w:rPr>
      <w:vertAlign w:val="superscript"/>
    </w:r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link w:val="853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845">
    <w:name w:val="Heading 1"/>
    <w:next w:val="844"/>
    <w:link w:val="87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46">
    <w:name w:val="Heading 2"/>
    <w:next w:val="844"/>
    <w:link w:val="91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47">
    <w:name w:val="Heading 3"/>
    <w:next w:val="844"/>
    <w:link w:val="86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48">
    <w:name w:val="Heading 4"/>
    <w:next w:val="844"/>
    <w:link w:val="91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49">
    <w:name w:val="Heading 5"/>
    <w:next w:val="844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 w:customStyle="1">
    <w:name w:val="Обычный1"/>
    <w:rPr>
      <w:rFonts w:ascii="Times New Roman" w:hAnsi="Times New Roman"/>
      <w:sz w:val="24"/>
    </w:rPr>
  </w:style>
  <w:style w:type="paragraph" w:styleId="854">
    <w:name w:val="toc 2"/>
    <w:link w:val="855"/>
    <w:uiPriority w:val="39"/>
    <w:pPr>
      <w:ind w:left="200"/>
      <w:spacing w:after="160" w:line="264" w:lineRule="auto"/>
    </w:pPr>
    <w:rPr>
      <w:rFonts w:ascii="Times New Roman" w:hAnsi="Times New Roman"/>
    </w:rPr>
  </w:style>
  <w:style w:type="character" w:styleId="855" w:customStyle="1">
    <w:name w:val="Оглавление 2 Знак"/>
    <w:link w:val="854"/>
    <w:rPr>
      <w:rFonts w:ascii="Times New Roman" w:hAnsi="Times New Roman"/>
    </w:rPr>
  </w:style>
  <w:style w:type="paragraph" w:styleId="856">
    <w:name w:val="toc 4"/>
    <w:next w:val="844"/>
    <w:link w:val="857"/>
    <w:uiPriority w:val="39"/>
    <w:pPr>
      <w:ind w:left="600"/>
    </w:pPr>
    <w:rPr>
      <w:rFonts w:ascii="XO Thames" w:hAnsi="XO Thames"/>
      <w:sz w:val="28"/>
    </w:rPr>
  </w:style>
  <w:style w:type="character" w:styleId="857" w:customStyle="1">
    <w:name w:val="Оглавление 4 Знак"/>
    <w:link w:val="856"/>
    <w:rPr>
      <w:rFonts w:ascii="XO Thames" w:hAnsi="XO Thames"/>
      <w:sz w:val="28"/>
    </w:rPr>
  </w:style>
  <w:style w:type="paragraph" w:styleId="858" w:customStyle="1">
    <w:name w:val="Основной шрифт абзаца1"/>
  </w:style>
  <w:style w:type="paragraph" w:styleId="859">
    <w:name w:val="toc 6"/>
    <w:next w:val="844"/>
    <w:link w:val="860"/>
    <w:uiPriority w:val="39"/>
    <w:pPr>
      <w:ind w:left="1000"/>
    </w:pPr>
    <w:rPr>
      <w:rFonts w:ascii="XO Thames" w:hAnsi="XO Thames"/>
      <w:sz w:val="28"/>
    </w:rPr>
  </w:style>
  <w:style w:type="character" w:styleId="860" w:customStyle="1">
    <w:name w:val="Оглавление 6 Знак"/>
    <w:link w:val="859"/>
    <w:rPr>
      <w:rFonts w:ascii="XO Thames" w:hAnsi="XO Thames"/>
      <w:sz w:val="28"/>
    </w:rPr>
  </w:style>
  <w:style w:type="paragraph" w:styleId="861">
    <w:name w:val="toc 7"/>
    <w:next w:val="844"/>
    <w:link w:val="862"/>
    <w:uiPriority w:val="39"/>
    <w:pPr>
      <w:ind w:left="1200"/>
    </w:pPr>
    <w:rPr>
      <w:rFonts w:ascii="XO Thames" w:hAnsi="XO Thames"/>
      <w:sz w:val="28"/>
    </w:rPr>
  </w:style>
  <w:style w:type="character" w:styleId="862" w:customStyle="1">
    <w:name w:val="Оглавление 7 Знак"/>
    <w:link w:val="861"/>
    <w:rPr>
      <w:rFonts w:ascii="XO Thames" w:hAnsi="XO Thames"/>
      <w:sz w:val="28"/>
    </w:rPr>
  </w:style>
  <w:style w:type="paragraph" w:styleId="863" w:customStyle="1">
    <w:name w:val="Обычный1"/>
    <w:link w:val="864"/>
    <w:rPr>
      <w:rFonts w:ascii="Times New Roman" w:hAnsi="Times New Roman"/>
      <w:sz w:val="24"/>
    </w:rPr>
  </w:style>
  <w:style w:type="character" w:styleId="864" w:customStyle="1">
    <w:name w:val="Обычный1"/>
    <w:link w:val="863"/>
    <w:rPr>
      <w:rFonts w:ascii="Times New Roman" w:hAnsi="Times New Roman"/>
      <w:sz w:val="24"/>
    </w:rPr>
  </w:style>
  <w:style w:type="paragraph" w:styleId="865" w:customStyle="1">
    <w:name w:val="Endnote"/>
    <w:link w:val="866"/>
    <w:pPr>
      <w:ind w:firstLine="851"/>
      <w:jc w:val="both"/>
    </w:pPr>
    <w:rPr>
      <w:rFonts w:ascii="XO Thames" w:hAnsi="XO Thames"/>
    </w:rPr>
  </w:style>
  <w:style w:type="character" w:styleId="866" w:customStyle="1">
    <w:name w:val="Endnote"/>
    <w:link w:val="865"/>
    <w:rPr>
      <w:rFonts w:ascii="XO Thames" w:hAnsi="XO Thames"/>
    </w:rPr>
  </w:style>
  <w:style w:type="character" w:styleId="867" w:customStyle="1">
    <w:name w:val="Заголовок 3 Знак"/>
    <w:link w:val="847"/>
    <w:rPr>
      <w:rFonts w:ascii="XO Thames" w:hAnsi="XO Thames"/>
      <w:b/>
      <w:sz w:val="26"/>
    </w:rPr>
  </w:style>
  <w:style w:type="paragraph" w:styleId="868">
    <w:name w:val="Header"/>
    <w:basedOn w:val="844"/>
    <w:link w:val="869"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53"/>
    <w:link w:val="868"/>
    <w:rPr>
      <w:rFonts w:ascii="Times New Roman" w:hAnsi="Times New Roman"/>
      <w:sz w:val="24"/>
    </w:rPr>
  </w:style>
  <w:style w:type="paragraph" w:styleId="870" w:customStyle="1">
    <w:name w:val="Знак примечания1"/>
    <w:basedOn w:val="872"/>
    <w:link w:val="871"/>
    <w:rPr>
      <w:sz w:val="16"/>
    </w:rPr>
  </w:style>
  <w:style w:type="character" w:styleId="871" w:customStyle="1">
    <w:name w:val="Знак примечания1"/>
    <w:basedOn w:val="873"/>
    <w:link w:val="870"/>
    <w:rPr>
      <w:sz w:val="16"/>
    </w:rPr>
  </w:style>
  <w:style w:type="paragraph" w:styleId="872" w:customStyle="1">
    <w:name w:val="Основной шрифт абзаца1"/>
    <w:link w:val="873"/>
  </w:style>
  <w:style w:type="character" w:styleId="873" w:customStyle="1">
    <w:name w:val="Основной шрифт абзаца1"/>
    <w:link w:val="872"/>
  </w:style>
  <w:style w:type="paragraph" w:styleId="874">
    <w:name w:val="toc 3"/>
    <w:next w:val="844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49"/>
    <w:rPr>
      <w:rFonts w:ascii="XO Thames" w:hAnsi="XO Thames"/>
      <w:b/>
    </w:rPr>
  </w:style>
  <w:style w:type="paragraph" w:styleId="877">
    <w:name w:val="Balloon Text"/>
    <w:basedOn w:val="844"/>
    <w:link w:val="878"/>
    <w:rPr>
      <w:rFonts w:ascii="Tahoma" w:hAnsi="Tahoma"/>
      <w:sz w:val="16"/>
    </w:rPr>
  </w:style>
  <w:style w:type="character" w:styleId="878" w:customStyle="1">
    <w:name w:val="Текст выноски Знак"/>
    <w:basedOn w:val="853"/>
    <w:link w:val="877"/>
    <w:rPr>
      <w:rFonts w:ascii="Tahoma" w:hAnsi="Tahoma"/>
      <w:sz w:val="16"/>
    </w:rPr>
  </w:style>
  <w:style w:type="character" w:styleId="879" w:customStyle="1">
    <w:name w:val="Заголовок 1 Знак"/>
    <w:link w:val="845"/>
    <w:rPr>
      <w:rFonts w:ascii="XO Thames" w:hAnsi="XO Thames"/>
      <w:b/>
      <w:sz w:val="32"/>
    </w:rPr>
  </w:style>
  <w:style w:type="paragraph" w:styleId="880">
    <w:name w:val="Body Text"/>
    <w:basedOn w:val="844"/>
    <w:link w:val="881"/>
    <w:pPr>
      <w:jc w:val="center"/>
      <w:spacing w:line="360" w:lineRule="auto"/>
    </w:pPr>
    <w:rPr>
      <w:sz w:val="26"/>
    </w:rPr>
  </w:style>
  <w:style w:type="character" w:styleId="881" w:customStyle="1">
    <w:name w:val="Основной текст Знак"/>
    <w:basedOn w:val="853"/>
    <w:link w:val="880"/>
    <w:rPr>
      <w:rFonts w:ascii="Times New Roman" w:hAnsi="Times New Roman"/>
      <w:sz w:val="26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rPr>
      <w:color w:val="0000ff"/>
      <w:u w:val="single"/>
    </w:rPr>
  </w:style>
  <w:style w:type="paragraph" w:styleId="884" w:customStyle="1">
    <w:name w:val="Footnote"/>
    <w:link w:val="885"/>
    <w:pPr>
      <w:ind w:firstLine="851"/>
      <w:jc w:val="both"/>
    </w:pPr>
    <w:rPr>
      <w:rFonts w:ascii="XO Thames" w:hAnsi="XO Thames"/>
    </w:rPr>
  </w:style>
  <w:style w:type="character" w:styleId="885" w:customStyle="1">
    <w:name w:val="Footnote"/>
    <w:link w:val="884"/>
    <w:rPr>
      <w:rFonts w:ascii="XO Thames" w:hAnsi="XO Thames"/>
    </w:rPr>
  </w:style>
  <w:style w:type="paragraph" w:styleId="886">
    <w:name w:val="toc 1"/>
    <w:next w:val="844"/>
    <w:link w:val="887"/>
    <w:uiPriority w:val="39"/>
    <w:rPr>
      <w:rFonts w:ascii="XO Thames" w:hAnsi="XO Thames"/>
      <w:b/>
      <w:sz w:val="28"/>
    </w:rPr>
  </w:style>
  <w:style w:type="character" w:styleId="887" w:customStyle="1">
    <w:name w:val="Оглавление 1 Знак"/>
    <w:link w:val="886"/>
    <w:rPr>
      <w:rFonts w:ascii="XO Thames" w:hAnsi="XO Thames"/>
      <w:b/>
      <w:sz w:val="28"/>
    </w:rPr>
  </w:style>
  <w:style w:type="paragraph" w:styleId="888" w:customStyle="1">
    <w:name w:val="Header and Footer"/>
    <w:link w:val="889"/>
    <w:pPr>
      <w:jc w:val="both"/>
      <w:spacing w:line="240" w:lineRule="auto"/>
    </w:pPr>
    <w:rPr>
      <w:rFonts w:ascii="XO Thames" w:hAnsi="XO Thames"/>
      <w:sz w:val="28"/>
    </w:rPr>
  </w:style>
  <w:style w:type="character" w:styleId="889" w:customStyle="1">
    <w:name w:val="Header and Footer"/>
    <w:link w:val="888"/>
    <w:rPr>
      <w:rFonts w:ascii="XO Thames" w:hAnsi="XO Thames"/>
      <w:sz w:val="28"/>
    </w:rPr>
  </w:style>
  <w:style w:type="paragraph" w:styleId="890">
    <w:name w:val="annotation subject"/>
    <w:basedOn w:val="906"/>
    <w:next w:val="906"/>
    <w:link w:val="891"/>
    <w:rPr>
      <w:b/>
    </w:rPr>
  </w:style>
  <w:style w:type="character" w:styleId="891" w:customStyle="1">
    <w:name w:val="Тема примечания Знак"/>
    <w:basedOn w:val="907"/>
    <w:link w:val="890"/>
    <w:rPr>
      <w:rFonts w:ascii="Times New Roman" w:hAnsi="Times New Roman"/>
      <w:b/>
      <w:sz w:val="20"/>
    </w:rPr>
  </w:style>
  <w:style w:type="paragraph" w:styleId="892">
    <w:name w:val="toc 9"/>
    <w:next w:val="844"/>
    <w:link w:val="893"/>
    <w:uiPriority w:val="39"/>
    <w:pPr>
      <w:ind w:left="1600"/>
    </w:pPr>
    <w:rPr>
      <w:rFonts w:ascii="XO Thames" w:hAnsi="XO Thames"/>
      <w:sz w:val="28"/>
    </w:rPr>
  </w:style>
  <w:style w:type="character" w:styleId="893" w:customStyle="1">
    <w:name w:val="Оглавление 9 Знак"/>
    <w:link w:val="892"/>
    <w:rPr>
      <w:rFonts w:ascii="XO Thames" w:hAnsi="XO Thames"/>
      <w:sz w:val="28"/>
    </w:rPr>
  </w:style>
  <w:style w:type="paragraph" w:styleId="894" w:customStyle="1">
    <w:name w:val="Гиперссылка1"/>
    <w:link w:val="895"/>
    <w:pPr>
      <w:spacing w:after="160" w:line="264" w:lineRule="auto"/>
    </w:pPr>
    <w:rPr>
      <w:rFonts w:ascii="Times New Roman" w:hAnsi="Times New Roman"/>
      <w:color w:val="0000ff"/>
      <w:u w:val="single"/>
    </w:rPr>
  </w:style>
  <w:style w:type="character" w:styleId="895" w:customStyle="1">
    <w:name w:val="Гиперссылка1"/>
    <w:link w:val="894"/>
    <w:rPr>
      <w:rFonts w:ascii="Times New Roman" w:hAnsi="Times New Roman"/>
      <w:color w:val="0000ff"/>
      <w:u w:val="single"/>
    </w:rPr>
  </w:style>
  <w:style w:type="paragraph" w:styleId="896">
    <w:name w:val="toc 8"/>
    <w:next w:val="844"/>
    <w:link w:val="897"/>
    <w:uiPriority w:val="39"/>
    <w:pPr>
      <w:ind w:left="1400"/>
    </w:pPr>
    <w:rPr>
      <w:rFonts w:ascii="XO Thames" w:hAnsi="XO Thames"/>
      <w:sz w:val="28"/>
    </w:rPr>
  </w:style>
  <w:style w:type="character" w:styleId="897" w:customStyle="1">
    <w:name w:val="Оглавление 8 Знак"/>
    <w:link w:val="896"/>
    <w:rPr>
      <w:rFonts w:ascii="XO Thames" w:hAnsi="XO Thames"/>
      <w:sz w:val="28"/>
    </w:rPr>
  </w:style>
  <w:style w:type="paragraph" w:styleId="898">
    <w:name w:val="Body Text Indent"/>
    <w:basedOn w:val="844"/>
    <w:link w:val="899"/>
    <w:pPr>
      <w:ind w:firstLine="1080"/>
      <w:jc w:val="both"/>
      <w:spacing w:line="360" w:lineRule="auto"/>
    </w:pPr>
    <w:rPr>
      <w:sz w:val="26"/>
    </w:rPr>
  </w:style>
  <w:style w:type="character" w:styleId="899" w:customStyle="1">
    <w:name w:val="Основной текст с отступом Знак"/>
    <w:basedOn w:val="853"/>
    <w:link w:val="898"/>
    <w:rPr>
      <w:rFonts w:ascii="Times New Roman" w:hAnsi="Times New Roman"/>
      <w:sz w:val="26"/>
    </w:rPr>
  </w:style>
  <w:style w:type="paragraph" w:styleId="900">
    <w:name w:val="toc 5"/>
    <w:next w:val="844"/>
    <w:link w:val="901"/>
    <w:uiPriority w:val="39"/>
    <w:pPr>
      <w:ind w:left="800"/>
    </w:pPr>
    <w:rPr>
      <w:rFonts w:ascii="XO Thames" w:hAnsi="XO Thames"/>
      <w:sz w:val="28"/>
    </w:rPr>
  </w:style>
  <w:style w:type="character" w:styleId="901" w:customStyle="1">
    <w:name w:val="Оглавление 5 Знак"/>
    <w:link w:val="900"/>
    <w:rPr>
      <w:rFonts w:ascii="XO Thames" w:hAnsi="XO Thames"/>
      <w:sz w:val="28"/>
    </w:rPr>
  </w:style>
  <w:style w:type="paragraph" w:styleId="902" w:customStyle="1">
    <w:name w:val="Гиперссылка2"/>
    <w:link w:val="903"/>
    <w:rPr>
      <w:color w:val="0000ff"/>
      <w:u w:val="single"/>
    </w:rPr>
  </w:style>
  <w:style w:type="character" w:styleId="903" w:customStyle="1">
    <w:name w:val="Гиперссылка2"/>
    <w:link w:val="902"/>
    <w:rPr>
      <w:color w:val="0000ff"/>
      <w:u w:val="single"/>
    </w:rPr>
  </w:style>
  <w:style w:type="paragraph" w:styleId="904">
    <w:name w:val="Footer"/>
    <w:basedOn w:val="844"/>
    <w:link w:val="905"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53"/>
    <w:link w:val="904"/>
    <w:rPr>
      <w:rFonts w:ascii="Times New Roman" w:hAnsi="Times New Roman"/>
      <w:sz w:val="24"/>
    </w:rPr>
  </w:style>
  <w:style w:type="paragraph" w:styleId="906">
    <w:name w:val="annotation text"/>
    <w:basedOn w:val="844"/>
    <w:link w:val="907"/>
    <w:rPr>
      <w:sz w:val="20"/>
    </w:rPr>
  </w:style>
  <w:style w:type="character" w:styleId="907" w:customStyle="1">
    <w:name w:val="Текст примечания Знак"/>
    <w:basedOn w:val="853"/>
    <w:link w:val="906"/>
    <w:rPr>
      <w:rFonts w:ascii="Times New Roman" w:hAnsi="Times New Roman"/>
      <w:sz w:val="20"/>
    </w:rPr>
  </w:style>
  <w:style w:type="paragraph" w:styleId="908">
    <w:name w:val="Subtitle"/>
    <w:next w:val="844"/>
    <w:link w:val="90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9" w:customStyle="1">
    <w:name w:val="Подзаголовок Знак"/>
    <w:link w:val="908"/>
    <w:rPr>
      <w:rFonts w:ascii="XO Thames" w:hAnsi="XO Thames"/>
      <w:i/>
      <w:sz w:val="24"/>
    </w:rPr>
  </w:style>
  <w:style w:type="paragraph" w:styleId="910">
    <w:name w:val="Title"/>
    <w:next w:val="844"/>
    <w:link w:val="91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11" w:customStyle="1">
    <w:name w:val="Название Знак"/>
    <w:link w:val="910"/>
    <w:rPr>
      <w:rFonts w:ascii="XO Thames" w:hAnsi="XO Thames"/>
      <w:b/>
      <w:caps/>
      <w:sz w:val="40"/>
    </w:rPr>
  </w:style>
  <w:style w:type="character" w:styleId="912" w:customStyle="1">
    <w:name w:val="Заголовок 4 Знак"/>
    <w:link w:val="848"/>
    <w:rPr>
      <w:rFonts w:ascii="XO Thames" w:hAnsi="XO Thames"/>
      <w:b/>
      <w:sz w:val="24"/>
    </w:rPr>
  </w:style>
  <w:style w:type="character" w:styleId="913" w:customStyle="1">
    <w:name w:val="Заголовок 2 Знак"/>
    <w:link w:val="846"/>
    <w:rPr>
      <w:rFonts w:ascii="XO Thames" w:hAnsi="XO Thames"/>
      <w:b/>
      <w:sz w:val="28"/>
    </w:rPr>
  </w:style>
  <w:style w:type="paragraph" w:styleId="914">
    <w:name w:val="List Paragraph"/>
    <w:basedOn w:val="844"/>
    <w:link w:val="915"/>
    <w:pPr>
      <w:contextualSpacing/>
      <w:ind w:left="720"/>
    </w:pPr>
  </w:style>
  <w:style w:type="character" w:styleId="915" w:customStyle="1">
    <w:name w:val="Абзац списка Знак"/>
    <w:basedOn w:val="853"/>
    <w:link w:val="914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Подзоров Артур Дмитриевич</dc:creator>
  <cp:lastModifiedBy>kseniya.rodina</cp:lastModifiedBy>
  <cp:revision>13</cp:revision>
  <dcterms:created xsi:type="dcterms:W3CDTF">2025-03-27T08:35:00Z</dcterms:created>
  <dcterms:modified xsi:type="dcterms:W3CDTF">2026-03-31T12:14:03Z</dcterms:modified>
</cp:coreProperties>
</file>