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  <w:br/>
      </w:r>
      <w:r/>
    </w:p>
    <w:p>
      <w:pPr>
        <w:ind w:left="0" w:right="0" w:firstLine="0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в Минюсте России 10 апреля 2026 г. N 86010</w:t>
      </w:r>
      <w:r/>
    </w:p>
    <w:p>
      <w:pPr>
        <w:ind w:left="0" w:right="0" w:firstLine="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МИНИСТЕРСТВО ФИНАНСОВ РОССИЙСКОЙ ФЕДЕРАЦИИ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ФЕДЕРАЛЬНОЕ АГЕНТСТВО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22 декабря 2025 г. N 180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УТВЕРЖДЕНИИ ПОРЯДКА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СООБЩЕНИЯ РУКОВОДИТЕЛЕМ ФЕДЕРАЛЬНОГО АГЕНТСТВА ПО УПРАВЛЕНИЮ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ИМУЩЕСТВОМ, ФЕДЕРАЛЬНЫМИ ГОСУДАРСТВЕННЫМИ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ГРАЖДАНСКИМИ СЛУЖАЩИМИ ФЕДЕРАЛЬНОГО АГЕНТСТВА ПО УПРАВЛЕНИЮ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 И ЕГО ТЕРРИТОРИАЛЬНЫХ ОРГАНОВ,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РАБОТНИКАМИ, ЗАМЕЩАЮЩИМИ ОТДЕЛЬНЫЕ ДОЛЖНОСТИ В ОРГАНИЗАЦИЯХ,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СОЗДАВАЕМЫХ ДЛЯ ВЫПОЛНЕНИЯ ЗАДАЧ, ПОСТАВЛЕННЫХ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ПЕРЕД ФЕДЕРАЛЬНЫМ АГЕНТСТВОМ ПО УПРАВЛЕНИЮ ГОСУДАРСТВЕННЫМ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ИМУЩЕСТВОМ, О ПОЛУЧЕНИИ ПОДАРКА В СВЯЗИ С ПРОТОКОЛЬНЫМИ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МЕРОПРИЯТИЯМИ, СЛУЖЕБНЫМИ КОМАНДИРОВКАМИ И ДРУГИМИ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ОФИЦИАЛЬНЫМИ МЕРОПРИЯТИЯМИ, УЧАСТИЕ В КОТОРЫХ СВЯЗАНО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 ИСПОЛНЕНИЕМ ИМИ СЛУЖЕБНЫХ (ДОЛЖНОСТНЫХ) ОБЯЗАННОСТЕЙ,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ЕГО СДАЧИ, ОЦЕНКИ И РЕАЛИЗАЦИИ (ВЫКУПА)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пунктом 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постановления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приказываю: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Утвердить прилагаемый </w:t>
      </w:r>
      <w:r>
        <w:rPr>
          <w:rFonts w:ascii="Times New Roman" w:hAnsi="Times New Roman" w:eastAsia="Times New Roman" w:cs="Times New Roman"/>
          <w:sz w:val="24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сообщения руководителем Федерального агентства по управлению государственным имуществом,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органов, работниками, замещ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ающими отдельные должности в организациях, создаваемых для выполнения задач, поставленных перед Федеральным агентством по управлению государственным имуществом, о получении подарка в связи с протокольными мероприятиями, служебными командировками и другими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официальными мероприятиями, участие в которых связано с исполнением ими служебных (должностных) обязанностей, его сдачи, оценки и реализации (выкупа).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Признать утратившими силу: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</w:rPr>
        <w:t xml:space="preserve">приказ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агентства по управлению государственным имуществом от 26 мая 2016 г. N 187 "Об утверждении Положения о сообщении федеральными государственными гражданскими служащими Федерального агентства по управлению государственным имуществом и его террит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(выкупе) и зачислении средств, вырученных от его реализации" (зарегистрирован Министерством юстиции Российской Федерации 3 августа 2016 г., регистрационный N 43092);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</w:rPr>
        <w:t xml:space="preserve">приказ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агентства по управлению государственным имуществом от 3 июня 2022 г. N 111 "О внесении изменений в приказ Федерального агентства по управлению государственным имуществом от 26 мая 2016 г. N 187 "Об утверждении положения о сообщении федеральны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 государственными гражданскими служащими Федерального агентства по управлению государственным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 (зарегистрирован Министерством юстиции Российской Федерации 12 июля 2022 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., регистрационный N 69229).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В.В.ЯКОВЕНКО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приказом Федерального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22.12.2025 N 180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ПОРЯДОК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СООБЩЕНИЯ РУКОВОДИТЕЛЕМ ФЕДЕРАЛЬНОГО АГЕНТСТВА ПО УПРАВЛЕНИЮ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ИМУЩЕСТВОМ, ФЕДЕРАЛЬНЫМИ ГОСУДАРСТВЕННЫМИ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ГРАЖДАНСКИМИ СЛУЖАЩИМИ ФЕДЕРАЛЬНОГО АГЕНТСТВА ПО УПРАВЛЕНИЮ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ГОСУДАРСТВЕННЫМ ИМУЩЕСТВОМ И ЕГО ТЕРРИТОРИАЛЬНЫХ ОРГАНОВ,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РАБОТНИКАМИ, ЗАМЕЩАЮЩИМИ ОТДЕЛЬНЫЕ ДОЛЖНОСТИ В ОРГАНИЗАЦИЯХ,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СОЗДАВАЕМЫХ ДЛЯ ВЫПОЛНЕНИЯ ЗАДАЧ, ПОСТАВЛЕННЫХ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ПЕРЕД ФЕДЕРАЛЬНЫМ АГЕНТСТВОМ ПО УПРАВЛЕНИЮ ГОСУДАРСТВЕННЫМ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ИМУЩЕСТВОМ, О ПОЛУЧЕНИИ ПОДАРКА В СВЯЗИ С ПРОТОКОЛЬНЫМИ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МЕРОПРИЯТИЯМИ, СЛУЖЕБНЫМИ КОМАНДИРОВКАМИ И ДРУГИМИ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ОФИЦИАЛЬНЫМИ МЕРОПРИЯТИЯМИ, УЧАСТИЕ В КОТОРЫХ СВЯЗАНО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 ИСПОЛНЕНИЕМ ИМИ СЛУЖЕБНЫХ (ДОЛЖНОСТНЫХ) ОБЯЗАННОСТЕЙ,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ЕГО СДАЧИ, ОЦЕНКИ И РЕАЛИЗАЦИИ (ВЫКУПА)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Руководитель Федерального агентства по управлению государственным имуществом (далее - руководитель), федеральные государственные гражданские служащие Федерального агентства по управлению государственным имуществом и его территориальных органов (далее 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ответственно - гражданские служащие центрального аппарата, гражданские служащие территориального органа; при совместном упоминании - гражданские служащие) и работники, замещающие отдельные должности в организациях, создаваемых для выполнения задач, поставл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енных перед Федеральным агентством по управлению государственным имуществом (далее соответственно - работники, подведомственные организации) не вправе получать подарки от физических (юридических) лиц в связи с их должностным положением или исполнением ими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Руководитель, гражданские служащие и работники, получившие подарки, обязаны в соответствии с настоящим Порядком уведомлять обо всех случаях получения подарка в связи с протокольными мероприятиями, служебными командировками и другими официальными меропри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ятиями, участие в которых связано с исполнением ими служебных (должностных) обязанностей, центральный аппарат Росимущества, его территориальные органы и подведомственные организации, в которых указанные лица проходят федеральную государственную гражданскую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службу или осуществляют трудовую деятельность.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 о получении подарка)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составляется в двух экземплярах: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руководителем -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согласно приложению N 3 к Правилам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которого возложена организация работы Пр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авительственной комиссии по координации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Федерации, федеральных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лужб и федеральных агентств, подведомственных этим федеральным министерствам,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остей, а также сдачи подарка, подачи заявления о его выкупе, рассмотрения вопросов об использовании подарка, утвержденным постановлением Правительства Российской Федерации от 12 октября 2015 г. N 1088 (далее - Правила);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гражданскими служащими и работниками -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согласно приложению к Типовому положению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 (должностных) обязанностей, сдаче и оценке подарка, реализации (выкупе) и зачислении средств, вырученных от его реализации, утвержденному постановлением Правительства Российской Федерации от 9 января 2014 г. N 10 (далее - Типовое положение).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Уведомление о получении подарка представляется не позднее 3 рабочих дней со дня получения подарка: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руководителем, гражданскими служащими центрального аппарата - в Управление обеспечения деятельности и организации торгов Росимущества (далее - Управление);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гражданскими служащими территориального органа, работниками - в уполномоченное структурное подразделение (уполномоченному должностному лицу), определяемое руководителем территориального органа Росимущества, директором (руководителем) подведомственной орган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изации (далее - уполномоченное подразделение (уполномоченное должностное лицо).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подарок получен во время служебной командировки, уведомление о получении подарка представляется не позднее 3 рабочих дней со дня возвращения лица, получившего подарок, из служебной командировки.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невозможности подачи уведомления о получении подарка в сроки, указанные в </w:t>
      </w:r>
      <w:r>
        <w:rPr>
          <w:rFonts w:ascii="Times New Roman" w:hAnsi="Times New Roman" w:eastAsia="Times New Roman" w:cs="Times New Roman"/>
          <w:sz w:val="24"/>
        </w:rPr>
        <w:t xml:space="preserve">абзацах первом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</w:rPr>
        <w:t xml:space="preserve">четвертом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пункта, по причине, не зависящей от руководителя, гражданского служащего и работника, уведомление о получении подарка представляется не позднее следующего дня после ее устранения.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К уведомлению о получении подарка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Уведомление о получении подарка регистрируется Управлением, уполномоченным подразделением (уполномоченным должностным лицом) в журнале регистрации уведомлений о получении подарка в связи с протокольными мероприятиями, служебными командировками и другими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официальными мероприятиями, участие в которых связано с исполнением служебных (должностных) обязанностей, и заявлений о его выкупе (далее - журнал регистрации уведомлений)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 в день его поступления.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Первый экземпляр уведомления о получении подарка, представленного руководителем, в течение 5 рабочих дней после его регистрации в журнале регистрации уведомлений направляется Управлением для ознакомления Министру финансов Российской Федерации.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экземпляр уведомления о получении подарка, представленного руководителем, после ознакомления с ним Министра финансов Российской Федерации возвращается руководителю.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экземпляр уведомления о получении подарка, представленного гражданским служащим, работником, возвращается ему с отметкой о его регистрации в журнале регистрации уведомлений.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Второй экземпляр уведомления о получении подарка, представленного: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руководителем, гражданским служащим центрального аппарата, - направляется Управлением в постоянно действующую комиссию Федерального агентства по управлению государственным имуществом по поступлению и выбытию активов в части административно-хозяйственной 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ятельности и жилых помещений специализированного жилищного фонда Росимущества (далее - Комиссия Росимущества);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гражданским служащим территориального органа, работником - направляется уполномоченным подразделением (уполномоченным должностным лицом) в комиссию по поступлению и выбытию активов территориального органа Росимущества, подведомственной организации или соот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ветствующий коллегиальный орган территориального органа Росимущества, подведомственной организации, образованные в соответствии с законодательством о бухгалтерском учете (далее - Комиссия территориального органа, подведомственной организации).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Копия уведомления о получении подарка, представленного: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руководителем, гражданским служащим центрального аппарата - направляется Управлением в Управление государственной службы и кадров Росимущества;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гражданским служащим территориального органа, работником - направляется в структурное подразделение территориального органа Росимущества, подведомственной организации, ответственное за профилактику коррупционных и иных правонарушений.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Подарок, стоимость которого подтверждается документами и превышает 3 тысячи рублей либо стоимость которого получившим его лицам неизвестна, сдается: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отношении подарков, полученных руководителем, гражданскими служащими центрального аппарата, - ответственному лицу Управления;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отношении подарков, полученных гражданскими служащими территориального органа, работниками, - ответственному лицу уполномоченного подразделения (уполномоченному должностному лицу).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Указанные во </w:t>
      </w:r>
      <w:r>
        <w:rPr>
          <w:rFonts w:ascii="Times New Roman" w:hAnsi="Times New Roman" w:eastAsia="Times New Roman" w:cs="Times New Roman"/>
          <w:sz w:val="24"/>
        </w:rPr>
        <w:t xml:space="preserve">втором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</w:rPr>
        <w:t xml:space="preserve">третьем абзацах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пункта ответственные лица принимают подарок на хранение по акту приема-передачи подарка (далее - акт приема-передачи)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 не позднее 5 рабочих дней со дня регистрации уведомления о получении подарка в журнале регистрации уведомлений.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В случае отдаленности структурного подразделения территориального органа Росимущества, подведомственной организации от уполномоченного подразделения (уполномоченного должностного лица) подарок, указанный в пункте 11 настоящего Порядка, сдается гражданс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ким служащим территориального органа, работником в уполномоченное подразделение (уполномоченному должностному лицу) в срок, не превышающий 1 месяц со дня направления уведомления о получении подарка.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Акт приема-передачи составляется в 3 экземплярах: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экземпляр - для руководителя, гражданского служащего, работника;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второй экземпляр - для ответственного лица Управления, уполномоченного подразделения (уполномоченного должностного лица), принявшего подарок на ответственное хранение;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третий экземпляр - для передачи в Комиссию Росимущества (Комиссию территориального органа, подведомственной организации).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Согласно </w:t>
      </w:r>
      <w:r>
        <w:rPr>
          <w:rFonts w:ascii="Times New Roman" w:hAnsi="Times New Roman" w:eastAsia="Times New Roman" w:cs="Times New Roman"/>
          <w:sz w:val="24"/>
        </w:rPr>
        <w:t xml:space="preserve">пункту 9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Типового положения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пунктом 10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Типового положения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Управлением, уполномоченным подразделением (уполномоченным должностным лицом) на основ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Росимущества (Комиссии территориального органа, подведомственной организации).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Сведения о рыночной цене подтверждаются документально, а при невозможности документального подтверждения - экспертным путем.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Решение о принятии к бухгалтерскому учету подарка по рыночной цене на основании предложений Управления, уполномоченного подразделения (уполномоченного должностного лица) принимается Комиссией Росимущества (Комиссией территориального органа, подведомственно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организации).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Подарок, стоимость которого не превышает 3 тысячи рублей, после проведения заседания Комиссии Росимущества (Комиссии территориального органа, подведомственной организации) возвращается сдавшему его лицу по акту возврата подарка (рекомендуемый образец приве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Включение в реестр федерального имущества принятого к бухгалтерскому учету подарка, стоимость которого превышает 3 тысячи рублей, обеспечивается: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Управлением - в отношении подарков, полученных руководителем, гражданским служащим центрального аппарата;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уполномоченным подразделением (уполномоченным должностным лицом) - в отношении подарков, полученных гражданским служащим территориального органа, работником.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16. Руководитель, гражданские служащие, работники, сдавшие подарок, могут его выкупить, представив соответствующее заявление в Управление, уполномоченное подразделение (уполномоченному должностному лицу) не позднее 2 месяцев со дня сдачи подарка.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Заявление о выкупе подарка оформляется: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руководителем в 2 экземплярах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согласно приложению N 6 к Правилам. Заявление о выкупе подарка, полученного руководителем, может быть оформлено им лично либо уполномоченным в соответствии с законодательством Российской Федерации гражданским служащим центрального аппарата;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гражданским служащим, работником в 1 экземпляре на имя представителя нанимателя (работодателя) (рекомендуемый образец приведен в </w:t>
      </w:r>
      <w:r>
        <w:rPr>
          <w:rFonts w:ascii="Times New Roman" w:hAnsi="Times New Roman" w:eastAsia="Times New Roman" w:cs="Times New Roman"/>
          <w:sz w:val="24"/>
        </w:rPr>
        <w:t xml:space="preserve">приложении N 4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 настоящему Порядку).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Управление, уполномоченное подразделение (уполномоченное должностное лицо) регистрирует заявление о выкупе подарка в журнале регистрации уведомлений.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экземпляр заявления о выкупе подарка, полученного руководителем, направляется Управлением для ознакомления Министру финансов Российской Федерации, второй экземпляр заявления остается в Управлении.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Первый экземпляр заявления о выкупе подарка, полученного руководителем, после ознакомления с ним Министра финансов Российской Федерации возвращается руководителю.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 Управление, уполномоченное подразделение (уполномоченное должностное лицо) в течение 3 месяцев со дня поступления заявления, указанного в пункте 17 настоящего Порядка, организует оценку стоимости подарка для реализации (выкупа) в соответствии с законод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ательством Российской Федерации об оценочной деятельности.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18. Управление, уполномоченное подразделение (уполномоченное должностное лицо) уведомляет в письменной форме лицо, подавшее заявление о выкупе подарка, о результатах оценки, после чего в течение месяца заявитель выкупает подарок по установленной в результа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 оценки стоимости или отказывается от выкупа.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19. Согласно </w:t>
      </w:r>
      <w:r>
        <w:rPr>
          <w:rFonts w:ascii="Times New Roman" w:hAnsi="Times New Roman" w:eastAsia="Times New Roman" w:cs="Times New Roman"/>
          <w:sz w:val="24"/>
        </w:rPr>
        <w:t xml:space="preserve">пункту 13(1)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Типового положения в случае если в отношении подарка, изготовленного из драгоценных металлов и (или) драгоценных камней, не поступило от руководителя, гражданского служащего, работника заявление, указанное в </w:t>
      </w:r>
      <w:r>
        <w:rPr>
          <w:rFonts w:ascii="Times New Roman" w:hAnsi="Times New Roman" w:eastAsia="Times New Roman" w:cs="Times New Roman"/>
          <w:sz w:val="24"/>
        </w:rPr>
        <w:t xml:space="preserve">пункте 17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Управлением, уполномоченным подразделением (уполномоченным должностным лицом) в фе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20. Подарок, в отношении которого от руководителя, гражданского служащего, работника не поступило заявление, указанное в </w:t>
      </w:r>
      <w:r>
        <w:rPr>
          <w:rFonts w:ascii="Times New Roman" w:hAnsi="Times New Roman" w:eastAsia="Times New Roman" w:cs="Times New Roman"/>
          <w:sz w:val="24"/>
        </w:rPr>
        <w:t xml:space="preserve">пункте 17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может использоваться Росимуществом (территориальным органом Росимущества, подведомственной организацией) с учетом заключения Комиссии Росимущества (Комиссии территориального органа, подведомственной организации) о целесообразности испо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льзования подарка для обеспечения деятельности Росимущества (территориального органа Росимущества, подведомственной организации).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21. В соответствии с </w:t>
      </w:r>
      <w:r>
        <w:rPr>
          <w:rFonts w:ascii="Times New Roman" w:hAnsi="Times New Roman" w:eastAsia="Times New Roman" w:cs="Times New Roman"/>
          <w:sz w:val="24"/>
        </w:rPr>
        <w:t xml:space="preserve">пунктом 15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Типового положения в случае нецелесообразности использования подарка, руководителем, руководителем территориального органа Росимущества или директором (руководителем) подведомственной организации принимается решение о реализации подарка и проведении оценк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стоимости для реализации (выкупа) посредством проведения торгов в порядке, предусмотренном законодательством Российской Федерации.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22. Оценка стоимости подарка для реализации (выкупа), предусмотренная </w:t>
      </w:r>
      <w:r>
        <w:rPr>
          <w:rFonts w:ascii="Times New Roman" w:hAnsi="Times New Roman" w:eastAsia="Times New Roman" w:cs="Times New Roman"/>
          <w:sz w:val="24"/>
        </w:rPr>
        <w:t xml:space="preserve">пунктами 18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22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  <w:r/>
    </w:p>
    <w:p>
      <w:pPr>
        <w:ind w:left="0" w:right="0" w:firstLine="54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23. В случае если подарок не выкуплен или не реализован, руководителем, руководителем территориального органа Росимущества или директором (руководителем) подведомственной организации принимается решение о повторной реализации подарка, либо о его безвозмезд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ной передаче на баланс благотворительной организации, либо о его уничтожении в соответствии с законодательством Российской Федерации.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1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сообщения руководителем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имуществом, федеральными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государственными гражданскими служащими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работниками, замещающими отдельные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должности в организациях, создаваемых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выполнения задач, поставленных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перед Федеральным агентством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о получении подарка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связи с протокольными мероприятиями,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служебными командировками и другими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официальными мероприятиями, участие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которых связано с исполнением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ими служебных (должностных)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обязанностей, его сдачи,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оценки и реализации (выкупа)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Рекомендуемый образец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Журнал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регистрации уведомлений о получении подарка в связи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протокольными мероприятиями, служебными командировками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другими официальными мероприятиями, участие в которых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связано с исполнением служебных (должностных)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обязанностей, и заявлений о его выкупе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20"/>
        <w:gridCol w:w="1005"/>
        <w:gridCol w:w="840"/>
        <w:gridCol w:w="1575"/>
        <w:gridCol w:w="1575"/>
        <w:gridCol w:w="1515"/>
        <w:gridCol w:w="945"/>
        <w:gridCol w:w="78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Регистрационный N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Вид документа (уведомление, заявление)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подачи уведомления (заявления)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Фамилия, имя, отчество (при наличии) и должность лица, представившего уведомление (заявление)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Фамилия, имя, отчество (при наличии) должностного лица, принявшего уведомление (заявление)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Подпись должностного лица, принявшего уведомление (заявление)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Наименование подарка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Стоимость (в рублях)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2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сообщения руководителем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имуществом, федеральными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государственными гражданскими служащими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работниками, замещающими отдельные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должности в организациях, создаваемых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выполнения задач, поставленных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перед Федеральным агентством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о получении подарка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связи с протокольными мероприятиями,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служебными командировками и другими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официальными мероприятиями, участие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которых связано с исполнением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ими служебных (должностных)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обязанностей, его сдачи,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оценки и реализации (выкупа)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Рекомендуемый образец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40"/>
        <w:gridCol w:w="690"/>
        <w:gridCol w:w="2610"/>
        <w:gridCol w:w="283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Акт</w:t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приема-передачи подарка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N ________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Мы, нижеподписавшиеся, составили настоящий акт о том, что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(при наличии), должность)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сдал, а ответственное лицо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наличии), должность)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принял на ответственное хранение следующие подарки, полученные в связи с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(Наименование и дата мероприятия)</w:t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80"/>
        <w:gridCol w:w="1515"/>
        <w:gridCol w:w="2430"/>
        <w:gridCol w:w="1455"/>
        <w:gridCol w:w="1575"/>
        <w:gridCol w:w="123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Наименование подарка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Характеристика подарка, его описание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Количество предметов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Стоимость (в рублях)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N в Журнале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Итого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00"/>
        <w:gridCol w:w="345"/>
        <w:gridCol w:w="2445"/>
        <w:gridCol w:w="345"/>
        <w:gridCol w:w="735"/>
        <w:gridCol w:w="1320"/>
        <w:gridCol w:w="345"/>
        <w:gridCol w:w="630"/>
        <w:gridCol w:w="1080"/>
        <w:gridCol w:w="630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Приложение: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 ___ листах.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(чек, товарный чек, иной документ об оплате (приобретении) подарка)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Принял на ответственное хранение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Сдал на ответственное хранение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Принято к учету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3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сообщения руководителем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имуществом, федеральными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государственными гражданскими служащими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работниками, замещающими отдельные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должности в организациях, создаваемых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выполнения задач, поставленных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перед Федеральным агентством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о получении подарка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связи с протокольными мероприятиями,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служебными командировками и другими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официальными мероприятиями, участие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которых связано с исполнением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ими служебных (должностных)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обязанностей, его сдачи,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оценки и реализации (выкупа)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Рекомендуемый образец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90"/>
        <w:gridCol w:w="2445"/>
        <w:gridCol w:w="345"/>
        <w:gridCol w:w="379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Акт</w:t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возврата подарка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N 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Ответственное лицо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наличии), должность)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 основании протокола заседания постоянно действующей комиссии Федерального агентства по управлению государственным имуществом по поступлению и выбытию активов в части административно-хозяйственной деятельности и жилых помещений специализированного жилищн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ого фонда Росимущества (комиссии по поступлению и выбытию активов территориального органа Росимущества, подведомственной организации, соответствующего коллегиального органа территориального органа Росимущества, подведомственной организации)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 "__" _________ 20__ г. N _______ возвращает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наличии), должность)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подарок, переданный по акту приема-передачи подарка от "__" _______ 20__ г. N ___.</w:t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55"/>
        <w:gridCol w:w="1140"/>
        <w:gridCol w:w="345"/>
        <w:gridCol w:w="1605"/>
        <w:gridCol w:w="345"/>
        <w:gridCol w:w="345"/>
        <w:gridCol w:w="900"/>
        <w:gridCol w:w="1095"/>
        <w:gridCol w:w="345"/>
        <w:gridCol w:w="1755"/>
        <w:gridCol w:w="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Выдал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Принял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 20__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40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 20__ г.</w:t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4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сообщения руководителем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имуществом, федеральными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государственными гражданскими служащими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агентства по управлению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государственным имуществом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его территориальных органов,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работниками, замещающими отдельные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должности в организациях, создаваемых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выполнения задач, поставленных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перед Федеральным агентством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имуществом, о получении подарка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связи с протокольными мероприятиями,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служебными командировками и другими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официальными мероприятиями, участие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которых связано с исполнением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ими служебных (должностных)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обязанностей, его сдачи,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оценки и реализации (выкупа)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Рекомендуемый образец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80"/>
        <w:gridCol w:w="345"/>
        <w:gridCol w:w="675"/>
        <w:gridCol w:w="735"/>
        <w:gridCol w:w="450"/>
        <w:gridCol w:w="345"/>
        <w:gridCol w:w="345"/>
        <w:gridCol w:w="1530"/>
        <w:gridCol w:w="345"/>
        <w:gridCol w:w="1980"/>
        <w:gridCol w:w="34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наличии), занимаемая должность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0" w:type="dxa"/>
            <w:vAlign w:val="top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лица на имя которого направляется заявление)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от</w:t>
            </w:r>
            <w:r/>
          </w:p>
        </w:tc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наличии),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занимаемая должность, номер телефона)</w:t>
            </w:r>
            <w:r/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Заявление</w:t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 выкупе подарка</w:t>
            </w:r>
            <w:r/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Извещаю о намерении выкупить полученный (полученные) мною в связи с протокольным мероприятием, служебной командировкой, другим официальным мероприятием (нужное подчеркнуть)</w:t>
            </w:r>
            <w:r/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(наименование протокольного мероприятия, служебной командировки или другого официального</w:t>
            </w:r>
            <w:r/>
          </w:p>
        </w:tc>
      </w:tr>
      <w:tr>
        <w:tblPrEx/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,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мероприятия, место и дата проведения, наименование подарка)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сданный (сданные) на хранение в установленном порядке по акту приема-передачи подарка</w:t>
            </w:r>
            <w:r/>
          </w:p>
        </w:tc>
      </w:tr>
      <w:tr>
        <w:tblPrEx/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,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(дата и регистрационный номер акта приема-передачи подарка)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_________ 20__ г.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(наименование должности)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Лицо, принявшее заявление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 20__ г.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3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Регистрационный номер заявления в журнале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"__" ________ 20__ г.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  <w:r/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ivan.zotov</cp:lastModifiedBy>
  <cp:revision>1</cp:revision>
  <dcterms:modified xsi:type="dcterms:W3CDTF">2026-07-08T08:55:31Z</dcterms:modified>
</cp:coreProperties>
</file>