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highlight w:val="white"/>
        </w:rPr>
        <w:t xml:space="preserve">Реквизиты для оплаты государственной пошлины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highlight w:val="white"/>
        </w:rPr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highlight w:val="white"/>
        </w:rPr>
        <w:t xml:space="preserve">за предоставление выписки из реестра федерального имущества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</w:rPr>
        <w:t xml:space="preserve">выдаваемой Росимуществом </w:t>
        <w:br/>
        <w:t xml:space="preserve">(центральным аппаратом):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ИНН 7710723134;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КПП 771001001;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Получатель – Межрегиональное операционное УФК (Федеральное агентство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управлению государственным имуществом, л/с 04951001670);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Казначейский счет - 03100643000000019500;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Банк получателя - Операционный департамент Банка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России//Межрегиональное операционное УФК г. Москва;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Единый казначейский счет – 40102810045370000002;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БИК 024501901;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ОКТМО 45382000; УИН 0;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Назначение платежа – КБК: 167 1 13 01991 01 6000 130.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liliya.lozhkina</cp:lastModifiedBy>
  <cp:revision>2</cp:revision>
  <dcterms:modified xsi:type="dcterms:W3CDTF">2026-04-10T13:34:05Z</dcterms:modified>
</cp:coreProperties>
</file>