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3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3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Распоряжение Территориального управления Федерального агентства по управлению государственным имуществом в Московской области от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04.08.2026 № 50-1138-р</w:t>
            </w:r>
            <w:r>
              <w:rPr>
                <w:rFonts w:ascii="Times New Roman" w:hAnsi="Times New Roman"/>
                <w:sz w:val="24"/>
                <w:highlight w:val="yellow"/>
              </w:rPr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1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1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2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2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06.08.2026</w:t>
            </w:r>
            <w:r>
              <w:rPr>
                <w:rFonts w:ascii="Times New Roman" w:hAnsi="Times New Roman"/>
                <w:sz w:val="24"/>
              </w:rPr>
              <w:t xml:space="preserve"> 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08.10.2026</w:t>
            </w:r>
            <w:r>
              <w:rPr>
                <w:rFonts w:ascii="Times New Roman" w:hAnsi="Times New Roman"/>
                <w:sz w:val="24"/>
              </w:rPr>
              <w:t xml:space="preserve"> в 16:00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highlight w:val="none"/>
              </w:rPr>
              <w:t xml:space="preserve">09.10.2026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12.10.2026</w:t>
            </w:r>
            <w:r>
              <w:rPr>
                <w:rFonts w:ascii="Times New Roman" w:hAnsi="Times New Roman"/>
                <w:sz w:val="24"/>
              </w:rPr>
              <w:t xml:space="preserve"> в 09:50</w:t>
            </w:r>
            <w:r>
              <w:rPr>
                <w:rFonts w:ascii="Times New Roman" w:hAnsi="Times New Roman"/>
                <w:sz w:val="24"/>
              </w:rPr>
              <w:t xml:space="preserve"> 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2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3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3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ля индивидуального жилищного строительства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50:03:0050180:1494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П11510008200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700 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+/- 7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кв.м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Московская область, р-н Клинский, 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городское поселение Клин, д Мисирево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894 000 (восемьсот девяносто четыре тысячи)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44 700 (сорок четыре тысячи семьсот)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89 400 (восемьдесят девять тысяч четыреста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06.08.2026 с 09:00 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(по московскому времени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) по 08.10.2026 до 16:00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 (по московскому времени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) и должен поступить на указанный в настоящем Изве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</w:t>
            </w:r>
            <w:r/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3"/>
        <w:spacing w:after="0"/>
      </w:pPr>
      <w:r/>
      <w:r/>
    </w:p>
    <w:p>
      <w:pPr>
        <w:pStyle w:val="853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2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2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2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60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3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3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3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www.torgi.gov.ru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https://www.roseltorg.ru/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8.5</w:t>
      </w:r>
      <w:r>
        <w:rPr>
          <w:rFonts w:ascii="Times New Roman" w:hAnsi="Times New Roman"/>
          <w:sz w:val="24"/>
          <w:szCs w:val="24"/>
        </w:rPr>
        <w:t xml:space="preserve">. Передача </w:t>
      </w:r>
      <w:r>
        <w:rPr>
          <w:rFonts w:ascii="Times New Roman" w:hAnsi="Times New Roman"/>
          <w:sz w:val="24"/>
          <w:szCs w:val="24"/>
        </w:rPr>
        <w:t xml:space="preserve">по акту приема-передачи земельного участка </w:t>
      </w:r>
      <w:r>
        <w:rPr>
          <w:rFonts w:ascii="Times New Roman" w:hAnsi="Times New Roman"/>
          <w:sz w:val="24"/>
          <w:szCs w:val="24"/>
        </w:rPr>
        <w:t xml:space="preserve">и оформление права собственности </w:t>
      </w:r>
      <w:r>
        <w:rPr>
          <w:rFonts w:ascii="Times New Roman" w:hAnsi="Times New Roman"/>
          <w:sz w:val="24"/>
          <w:szCs w:val="24"/>
        </w:rPr>
        <w:t xml:space="preserve">на него </w:t>
      </w:r>
      <w:r>
        <w:rPr>
          <w:rFonts w:ascii="Times New Roman" w:hAnsi="Times New Roman"/>
          <w:sz w:val="24"/>
          <w:szCs w:val="24"/>
        </w:rPr>
        <w:t xml:space="preserve">осуществляются в соответствии с законодательством Российской Федерации 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оговором не позднее чем через 30 календарных дней после дня 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электронной форме.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</w:t>
      </w:r>
      <w:r>
        <w:rPr>
          <w:rFonts w:ascii="Times New Roman" w:hAnsi="Times New Roman"/>
          <w:sz w:val="24"/>
          <w:szCs w:val="24"/>
        </w:rPr>
        <w:t xml:space="preserve">. Покупатель самостоятельно и за свой счет оформляет документы, необходимые для оформления права собственности на приобретаем</w:t>
      </w:r>
      <w:r>
        <w:rPr>
          <w:rFonts w:ascii="Times New Roman" w:hAnsi="Times New Roman"/>
          <w:sz w:val="24"/>
          <w:szCs w:val="24"/>
        </w:rPr>
        <w:t xml:space="preserve">ый земельный участок</w:t>
      </w:r>
      <w:r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оговора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.1. Уполномоченный орган не позднее чем за один рабочий день до даты окончания приема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вправе принять решение о внесении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в целях исправления технических ошибок, не связанных</w:t>
        <w:br/>
        <w:t xml:space="preserve">с предметом аукциона, начальной ценой предмета аукциона, </w:t>
      </w:r>
      <w:r>
        <w:rPr>
          <w:rFonts w:ascii="Times New Roman" w:hAnsi="Times New Roman" w:eastAsia="Times New Roman"/>
          <w:color w:val="000000"/>
          <w:sz w:val="24"/>
        </w:rPr>
        <w:t xml:space="preserve">«шагом аукциона»</w:t>
      </w:r>
      <w:r>
        <w:rPr>
          <w:rFonts w:ascii="Times New Roman" w:hAnsi="Times New Roman" w:eastAsia="Times New Roman"/>
          <w:color w:val="000000"/>
          <w:sz w:val="24"/>
        </w:rPr>
        <w:t xml:space="preserve">, размером задатка, а также с видом права, на котором земельный участок предоставляется</w:t>
        <w:br/>
        <w:t xml:space="preserve">по результатам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аукциона. При этом срок подачи заявок на участие</w:t>
        <w:br/>
        <w:t xml:space="preserve">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должен быть продлен таким образом, чтобы со дня размещения</w:t>
        <w:br/>
        <w:t xml:space="preserve">в порядке, установленном </w:t>
      </w:r>
      <w:r>
        <w:rPr>
          <w:rFonts w:ascii="Times New Roman" w:hAnsi="Times New Roman" w:eastAsia="Times New Roman"/>
          <w:sz w:val="24"/>
        </w:rPr>
        <w:t xml:space="preserve">пунктом 19</w:t>
      </w:r>
      <w:r>
        <w:rPr>
          <w:rFonts w:ascii="Times New Roman" w:hAnsi="Times New Roman" w:eastAsia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</w:t>
      </w:r>
      <w:r>
        <w:rPr>
          <w:rFonts w:ascii="Times New Roman" w:hAnsi="Times New Roman" w:eastAsia="Times New Roman"/>
          <w:color w:val="000000"/>
          <w:sz w:val="24"/>
        </w:rPr>
        <w:t xml:space="preserve"> 39.11 Земельного кодекса Российской Федерации</w:t>
      </w:r>
      <w:r>
        <w:rPr>
          <w:rFonts w:ascii="Times New Roman" w:hAnsi="Times New Roman" w:eastAsia="Times New Roman"/>
          <w:color w:val="000000"/>
          <w:sz w:val="24"/>
        </w:rPr>
        <w:t xml:space="preserve">,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 дня проведения</w:t>
      </w:r>
      <w:r>
        <w:rPr>
          <w:rFonts w:ascii="Times New Roman" w:hAnsi="Times New Roman" w:eastAsia="Times New Roman"/>
          <w:color w:val="000000"/>
          <w:sz w:val="24"/>
        </w:rPr>
        <w:t xml:space="preserve"> процедуры электронного</w:t>
      </w:r>
      <w:r>
        <w:rPr>
          <w:rFonts w:ascii="Times New Roman" w:hAnsi="Times New Roman" w:eastAsia="Times New Roman"/>
          <w:color w:val="000000"/>
          <w:sz w:val="24"/>
        </w:rPr>
        <w:t xml:space="preserve"> аукциона такой срок составлял не менее десяти рабочих дней. Инф</w:t>
      </w:r>
      <w:r>
        <w:rPr>
          <w:rFonts w:ascii="Times New Roman" w:hAnsi="Times New Roman" w:eastAsia="Times New Roman"/>
          <w:color w:val="000000"/>
          <w:sz w:val="24"/>
        </w:rPr>
        <w:t xml:space="preserve">ормация о внесении изменений</w:t>
        <w:br/>
        <w:t xml:space="preserve">в 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о проведении аукциона размещается на официальном сайте уполномоченного органа, на официальном сайте. Указанное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должно быть доступно для ознакомления всем заинтересованным лицам без взимания платы.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.2. В случае, если за один рабочий день до даты окончания приема заявок</w:t>
        <w:br/>
        <w:t xml:space="preserve">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не поступило ни одной заявки, уполномоченный орган до момента окончания срока подачи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может принять решение о продлении срока подачи заявок в соответствии с правилами, предусмотренными</w:t>
      </w:r>
      <w:r>
        <w:rPr>
          <w:rFonts w:ascii="Times New Roman" w:hAnsi="Times New Roman" w:eastAsia="Times New Roman"/>
          <w:color w:val="000000"/>
          <w:sz w:val="24"/>
        </w:rPr>
        <w:t xml:space="preserve"> пунктом 9.1 настоящего Извещения.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.3. Уполномоченный орган принимает решение об отказе в проведении аукциона в случае выявления обстоятельств, предусмотрен</w:t>
      </w:r>
      <w:r>
        <w:rPr>
          <w:rFonts w:ascii="Times New Roman" w:hAnsi="Times New Roman" w:eastAsia="Times New Roman"/>
          <w:color w:val="000000"/>
          <w:sz w:val="24"/>
        </w:rPr>
        <w:t xml:space="preserve">ных пунктом 8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 39.11 Земельного кодекса Российской Федерации. Извещение об отказе </w:t>
      </w:r>
      <w:r>
        <w:rPr>
          <w:rFonts w:ascii="Times New Roman" w:hAnsi="Times New Roman" w:eastAsia="Times New Roman"/>
          <w:color w:val="000000"/>
          <w:sz w:val="24"/>
        </w:rPr>
        <w:t xml:space="preserve">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 об отказе в проведении аукциона и возвратить его участникам внесенные задатки.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.4. С дополнительной информацией об участии в </w:t>
      </w:r>
      <w:r>
        <w:rPr>
          <w:rFonts w:ascii="Times New Roman" w:hAnsi="Times New Roman"/>
          <w:sz w:val="24"/>
        </w:rPr>
        <w:t xml:space="preserve">электронном аукционе</w:t>
      </w:r>
      <w:r>
        <w:rPr>
          <w:rFonts w:ascii="Times New Roman" w:hAnsi="Times New Roman"/>
          <w:sz w:val="24"/>
        </w:rPr>
        <w:t xml:space="preserve">, о порядке проведения </w:t>
      </w:r>
      <w:r>
        <w:rPr>
          <w:rFonts w:ascii="Times New Roman" w:hAnsi="Times New Roman"/>
          <w:sz w:val="24"/>
        </w:rPr>
        <w:t xml:space="preserve">электронного аукциона</w:t>
      </w:r>
      <w:r>
        <w:rPr>
          <w:rFonts w:ascii="Times New Roman" w:hAnsi="Times New Roman"/>
          <w:sz w:val="24"/>
        </w:rPr>
        <w:t xml:space="preserve">, с формой заявки, условиями </w:t>
      </w:r>
      <w:r>
        <w:rPr>
          <w:rFonts w:ascii="Times New Roman" w:hAnsi="Times New Roman"/>
          <w:sz w:val="24"/>
        </w:rPr>
        <w:t xml:space="preserve">Договора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потенциальные покупатели и заявители</w:t>
      </w:r>
      <w:r>
        <w:rPr>
          <w:rFonts w:ascii="Times New Roman" w:hAnsi="Times New Roman"/>
          <w:sz w:val="24"/>
        </w:rPr>
        <w:t xml:space="preserve"> могут ознакомиться на официальном сайте Российской Федерации в сети «Интернет» www.torgi.gov.ru, на официальном сайте уполномоченного органа, </w:t>
      </w:r>
      <w:r>
        <w:rPr>
          <w:rFonts w:ascii="Times New Roman" w:hAnsi="Times New Roman"/>
          <w:sz w:val="24"/>
        </w:rPr>
        <w:t xml:space="preserve">официальном </w:t>
      </w:r>
      <w:r>
        <w:rPr>
          <w:rFonts w:ascii="Times New Roman" w:hAnsi="Times New Roman"/>
          <w:sz w:val="24"/>
        </w:rPr>
        <w:t xml:space="preserve">сайте в сети «Интернет» </w:t>
      </w:r>
      <w:r>
        <w:rPr>
          <w:rFonts w:ascii="Times New Roman" w:hAnsi="Times New Roman"/>
          <w:sz w:val="24"/>
        </w:rPr>
        <w:t xml:space="preserve">о</w:t>
      </w:r>
      <w:r>
        <w:rPr>
          <w:rFonts w:ascii="Times New Roman" w:hAnsi="Times New Roman"/>
          <w:sz w:val="24"/>
        </w:rPr>
        <w:t xml:space="preserve">ператора электронной торговой площадки </w:t>
      </w:r>
      <w:r>
        <w:rPr>
          <w:rFonts w:ascii="Times New Roman" w:hAnsi="Times New Roman"/>
          <w:sz w:val="24"/>
        </w:rPr>
        <w:t xml:space="preserve">www.roseltorg.ru</w:t>
      </w:r>
      <w:r>
        <w:rPr>
          <w:rFonts w:ascii="Times New Roman" w:hAnsi="Times New Roman"/>
          <w:sz w:val="24"/>
        </w:rPr>
        <w:t xml:space="preserve"> и по телефону: </w:t>
      </w:r>
      <w:r>
        <w:rPr>
          <w:rFonts w:ascii="Times New Roman" w:hAnsi="Times New Roman"/>
          <w:sz w:val="24"/>
        </w:rPr>
        <w:t xml:space="preserve">(495) 647-71-77, доб. 2275; 2212</w:t>
      </w:r>
      <w:r>
        <w:rPr>
          <w:rFonts w:ascii="Times New Roman" w:hAnsi="Times New Roman"/>
          <w:sz w:val="24"/>
        </w:rPr>
        <w:t xml:space="preserve">, 3356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  <w:t xml:space="preserve">9.5. </w:t>
      </w:r>
      <w:r>
        <w:rPr>
          <w:rFonts w:ascii="Times New Roman" w:hAnsi="Times New Roman"/>
          <w:sz w:val="24"/>
        </w:rPr>
        <w:t xml:space="preserve">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59"/>
        <w:jc w:val="both"/>
        <w:rPr>
          <w:rFonts w:ascii="Times New Roman" w:hAnsi="Times New Roman"/>
        </w:rPr>
      </w:pPr>
      <w:r>
        <w:rPr>
          <w:rStyle w:val="860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7">
    <w:name w:val="Heading 1"/>
    <w:basedOn w:val="853"/>
    <w:next w:val="853"/>
    <w:link w:val="67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8">
    <w:name w:val="Heading 1 Char"/>
    <w:link w:val="677"/>
    <w:uiPriority w:val="9"/>
    <w:rPr>
      <w:rFonts w:ascii="Arial" w:hAnsi="Arial" w:eastAsia="Arial" w:cs="Arial"/>
      <w:sz w:val="40"/>
      <w:szCs w:val="40"/>
    </w:rPr>
  </w:style>
  <w:style w:type="paragraph" w:styleId="679">
    <w:name w:val="Heading 2"/>
    <w:basedOn w:val="853"/>
    <w:next w:val="853"/>
    <w:link w:val="68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0">
    <w:name w:val="Heading 2 Char"/>
    <w:link w:val="679"/>
    <w:uiPriority w:val="9"/>
    <w:rPr>
      <w:rFonts w:ascii="Arial" w:hAnsi="Arial" w:eastAsia="Arial" w:cs="Arial"/>
      <w:sz w:val="34"/>
    </w:rPr>
  </w:style>
  <w:style w:type="paragraph" w:styleId="681">
    <w:name w:val="Heading 3"/>
    <w:basedOn w:val="853"/>
    <w:next w:val="853"/>
    <w:link w:val="68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2">
    <w:name w:val="Heading 3 Char"/>
    <w:link w:val="681"/>
    <w:uiPriority w:val="9"/>
    <w:rPr>
      <w:rFonts w:ascii="Arial" w:hAnsi="Arial" w:eastAsia="Arial" w:cs="Arial"/>
      <w:sz w:val="30"/>
      <w:szCs w:val="30"/>
    </w:rPr>
  </w:style>
  <w:style w:type="paragraph" w:styleId="683">
    <w:name w:val="Heading 4"/>
    <w:basedOn w:val="853"/>
    <w:next w:val="853"/>
    <w:link w:val="68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4">
    <w:name w:val="Heading 4 Char"/>
    <w:link w:val="683"/>
    <w:uiPriority w:val="9"/>
    <w:rPr>
      <w:rFonts w:ascii="Arial" w:hAnsi="Arial" w:eastAsia="Arial" w:cs="Arial"/>
      <w:b/>
      <w:bCs/>
      <w:sz w:val="26"/>
      <w:szCs w:val="26"/>
    </w:rPr>
  </w:style>
  <w:style w:type="paragraph" w:styleId="685">
    <w:name w:val="Heading 5"/>
    <w:basedOn w:val="853"/>
    <w:next w:val="853"/>
    <w:link w:val="68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6">
    <w:name w:val="Heading 5 Char"/>
    <w:link w:val="685"/>
    <w:uiPriority w:val="9"/>
    <w:rPr>
      <w:rFonts w:ascii="Arial" w:hAnsi="Arial" w:eastAsia="Arial" w:cs="Arial"/>
      <w:b/>
      <w:bCs/>
      <w:sz w:val="24"/>
      <w:szCs w:val="24"/>
    </w:rPr>
  </w:style>
  <w:style w:type="paragraph" w:styleId="687">
    <w:name w:val="Heading 6"/>
    <w:basedOn w:val="853"/>
    <w:next w:val="853"/>
    <w:link w:val="68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8">
    <w:name w:val="Heading 6 Char"/>
    <w:link w:val="687"/>
    <w:uiPriority w:val="9"/>
    <w:rPr>
      <w:rFonts w:ascii="Arial" w:hAnsi="Arial" w:eastAsia="Arial" w:cs="Arial"/>
      <w:b/>
      <w:bCs/>
      <w:sz w:val="22"/>
      <w:szCs w:val="22"/>
    </w:rPr>
  </w:style>
  <w:style w:type="paragraph" w:styleId="689">
    <w:name w:val="Heading 7"/>
    <w:basedOn w:val="853"/>
    <w:next w:val="853"/>
    <w:link w:val="69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0">
    <w:name w:val="Heading 7 Char"/>
    <w:link w:val="68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1">
    <w:name w:val="Heading 8"/>
    <w:basedOn w:val="853"/>
    <w:next w:val="853"/>
    <w:link w:val="69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2">
    <w:name w:val="Heading 8 Char"/>
    <w:link w:val="691"/>
    <w:uiPriority w:val="9"/>
    <w:rPr>
      <w:rFonts w:ascii="Arial" w:hAnsi="Arial" w:eastAsia="Arial" w:cs="Arial"/>
      <w:i/>
      <w:iCs/>
      <w:sz w:val="22"/>
      <w:szCs w:val="22"/>
    </w:rPr>
  </w:style>
  <w:style w:type="paragraph" w:styleId="693">
    <w:name w:val="Heading 9"/>
    <w:basedOn w:val="853"/>
    <w:next w:val="853"/>
    <w:link w:val="69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4">
    <w:name w:val="Heading 9 Char"/>
    <w:link w:val="693"/>
    <w:uiPriority w:val="9"/>
    <w:rPr>
      <w:rFonts w:ascii="Arial" w:hAnsi="Arial" w:eastAsia="Arial" w:cs="Arial"/>
      <w:i/>
      <w:iCs/>
      <w:sz w:val="21"/>
      <w:szCs w:val="21"/>
    </w:rPr>
  </w:style>
  <w:style w:type="paragraph" w:styleId="695">
    <w:name w:val="Title"/>
    <w:basedOn w:val="853"/>
    <w:next w:val="853"/>
    <w:link w:val="69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6">
    <w:name w:val="Title Char"/>
    <w:link w:val="695"/>
    <w:uiPriority w:val="10"/>
    <w:rPr>
      <w:sz w:val="48"/>
      <w:szCs w:val="48"/>
    </w:rPr>
  </w:style>
  <w:style w:type="paragraph" w:styleId="697">
    <w:name w:val="Subtitle"/>
    <w:basedOn w:val="853"/>
    <w:next w:val="853"/>
    <w:link w:val="698"/>
    <w:uiPriority w:val="11"/>
    <w:qFormat/>
    <w:pPr>
      <w:spacing w:before="200" w:after="200"/>
    </w:pPr>
    <w:rPr>
      <w:sz w:val="24"/>
      <w:szCs w:val="24"/>
    </w:rPr>
  </w:style>
  <w:style w:type="character" w:styleId="698">
    <w:name w:val="Subtitle Char"/>
    <w:link w:val="697"/>
    <w:uiPriority w:val="11"/>
    <w:rPr>
      <w:sz w:val="24"/>
      <w:szCs w:val="24"/>
    </w:rPr>
  </w:style>
  <w:style w:type="paragraph" w:styleId="699">
    <w:name w:val="Quote"/>
    <w:basedOn w:val="853"/>
    <w:next w:val="853"/>
    <w:link w:val="700"/>
    <w:uiPriority w:val="29"/>
    <w:qFormat/>
    <w:pPr>
      <w:ind w:left="720" w:right="720"/>
    </w:pPr>
    <w:rPr>
      <w:i/>
    </w:rPr>
  </w:style>
  <w:style w:type="character" w:styleId="700">
    <w:name w:val="Quote Char"/>
    <w:link w:val="699"/>
    <w:uiPriority w:val="29"/>
    <w:rPr>
      <w:i/>
    </w:rPr>
  </w:style>
  <w:style w:type="paragraph" w:styleId="701">
    <w:name w:val="Intense Quote"/>
    <w:basedOn w:val="853"/>
    <w:next w:val="853"/>
    <w:link w:val="70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2">
    <w:name w:val="Intense Quote Char"/>
    <w:link w:val="701"/>
    <w:uiPriority w:val="30"/>
    <w:rPr>
      <w:i/>
    </w:rPr>
  </w:style>
  <w:style w:type="paragraph" w:styleId="703">
    <w:name w:val="Header"/>
    <w:basedOn w:val="853"/>
    <w:link w:val="70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4">
    <w:name w:val="Header Char"/>
    <w:link w:val="703"/>
    <w:uiPriority w:val="99"/>
  </w:style>
  <w:style w:type="paragraph" w:styleId="705">
    <w:name w:val="Footer"/>
    <w:basedOn w:val="853"/>
    <w:link w:val="70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6">
    <w:name w:val="Footer Char"/>
    <w:link w:val="705"/>
    <w:uiPriority w:val="99"/>
  </w:style>
  <w:style w:type="paragraph" w:styleId="707">
    <w:name w:val="Caption"/>
    <w:basedOn w:val="853"/>
    <w:next w:val="853"/>
    <w:link w:val="70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8">
    <w:name w:val="Caption Char"/>
    <w:link w:val="707"/>
    <w:uiPriority w:val="35"/>
    <w:rPr>
      <w:b/>
      <w:bCs/>
      <w:color w:val="4f81bd" w:themeColor="accent1"/>
      <w:sz w:val="18"/>
      <w:szCs w:val="18"/>
    </w:rPr>
  </w:style>
  <w:style w:type="table" w:styleId="709">
    <w:name w:val="Table Grid"/>
    <w:basedOn w:val="85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Table Grid Light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1">
    <w:name w:val="Plain Table 1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2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>
    <w:name w:val="Plain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4">
    <w:name w:val="Plain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Plain Table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6">
    <w:name w:val="Grid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8">
    <w:name w:val="Grid Table 4 - Accent 1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9">
    <w:name w:val="Grid Table 4 - Accent 2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0">
    <w:name w:val="Grid Table 4 - Accent 3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1">
    <w:name w:val="Grid Table 4 - Accent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2">
    <w:name w:val="Grid Table 4 - Accent 5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3">
    <w:name w:val="Grid Table 4 - Accent 6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4">
    <w:name w:val="Grid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5">
    <w:name w:val="Grid Table 5 Dark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8">
    <w:name w:val="Grid Table 5 Dark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1">
    <w:name w:val="Grid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2">
    <w:name w:val="Grid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3">
    <w:name w:val="Grid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4">
    <w:name w:val="Grid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5">
    <w:name w:val="Grid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6">
    <w:name w:val="Grid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8">
    <w:name w:val="Grid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3">
    <w:name w:val="List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4">
    <w:name w:val="List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5">
    <w:name w:val="List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6">
    <w:name w:val="List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7">
    <w:name w:val="List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8">
    <w:name w:val="List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9">
    <w:name w:val="List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1">
    <w:name w:val="List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2">
    <w:name w:val="List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3">
    <w:name w:val="List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4">
    <w:name w:val="List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5">
    <w:name w:val="List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6">
    <w:name w:val="List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7">
    <w:name w:val="List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8">
    <w:name w:val="List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9">
    <w:name w:val="List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0">
    <w:name w:val="List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1">
    <w:name w:val="List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2">
    <w:name w:val="List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3">
    <w:name w:val="List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4">
    <w:name w:val="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5">
    <w:name w:val="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6">
    <w:name w:val="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7">
    <w:name w:val="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8">
    <w:name w:val="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9">
    <w:name w:val="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0">
    <w:name w:val="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1">
    <w:name w:val="Bordered &amp; 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2">
    <w:name w:val="Bordered &amp; 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3">
    <w:name w:val="Bordered &amp; 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4">
    <w:name w:val="Bordered &amp; 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5">
    <w:name w:val="Bordered &amp; 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6">
    <w:name w:val="Bordered &amp; 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7">
    <w:name w:val="Bordered &amp; 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8">
    <w:name w:val="Bordered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9">
    <w:name w:val="Bordered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0">
    <w:name w:val="Bordered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1">
    <w:name w:val="Bordered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2">
    <w:name w:val="Bordered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3">
    <w:name w:val="Bordered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4">
    <w:name w:val="Bordered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5">
    <w:name w:val="Hyperlink"/>
    <w:uiPriority w:val="99"/>
    <w:unhideWhenUsed/>
    <w:rPr>
      <w:color w:val="0000ff" w:themeColor="hyperlink"/>
      <w:u w:val="single"/>
    </w:rPr>
  </w:style>
  <w:style w:type="paragraph" w:styleId="836">
    <w:name w:val="footnote text"/>
    <w:basedOn w:val="853"/>
    <w:link w:val="837"/>
    <w:uiPriority w:val="99"/>
    <w:semiHidden/>
    <w:unhideWhenUsed/>
    <w:pPr>
      <w:spacing w:after="40" w:line="240" w:lineRule="auto"/>
    </w:pPr>
    <w:rPr>
      <w:sz w:val="18"/>
    </w:rPr>
  </w:style>
  <w:style w:type="character" w:styleId="837">
    <w:name w:val="Footnote Text Char"/>
    <w:link w:val="836"/>
    <w:uiPriority w:val="99"/>
    <w:rPr>
      <w:sz w:val="18"/>
    </w:rPr>
  </w:style>
  <w:style w:type="character" w:styleId="838">
    <w:name w:val="footnote reference"/>
    <w:uiPriority w:val="99"/>
    <w:unhideWhenUsed/>
    <w:rPr>
      <w:vertAlign w:val="superscript"/>
    </w:rPr>
  </w:style>
  <w:style w:type="paragraph" w:styleId="839">
    <w:name w:val="endnote text"/>
    <w:basedOn w:val="853"/>
    <w:link w:val="840"/>
    <w:uiPriority w:val="99"/>
    <w:semiHidden/>
    <w:unhideWhenUsed/>
    <w:pPr>
      <w:spacing w:after="0" w:line="240" w:lineRule="auto"/>
    </w:pPr>
    <w:rPr>
      <w:sz w:val="20"/>
    </w:rPr>
  </w:style>
  <w:style w:type="character" w:styleId="840">
    <w:name w:val="Endnote Text Char"/>
    <w:link w:val="839"/>
    <w:uiPriority w:val="99"/>
    <w:rPr>
      <w:sz w:val="20"/>
    </w:rPr>
  </w:style>
  <w:style w:type="character" w:styleId="841">
    <w:name w:val="endnote reference"/>
    <w:uiPriority w:val="99"/>
    <w:semiHidden/>
    <w:unhideWhenUsed/>
    <w:rPr>
      <w:vertAlign w:val="superscript"/>
    </w:rPr>
  </w:style>
  <w:style w:type="paragraph" w:styleId="842">
    <w:name w:val="toc 1"/>
    <w:basedOn w:val="853"/>
    <w:next w:val="853"/>
    <w:uiPriority w:val="39"/>
    <w:unhideWhenUsed/>
    <w:pPr>
      <w:ind w:left="0" w:right="0" w:firstLine="0"/>
      <w:spacing w:after="57"/>
    </w:pPr>
  </w:style>
  <w:style w:type="paragraph" w:styleId="843">
    <w:name w:val="toc 2"/>
    <w:basedOn w:val="853"/>
    <w:next w:val="853"/>
    <w:uiPriority w:val="39"/>
    <w:unhideWhenUsed/>
    <w:pPr>
      <w:ind w:left="283" w:right="0" w:firstLine="0"/>
      <w:spacing w:after="57"/>
    </w:pPr>
  </w:style>
  <w:style w:type="paragraph" w:styleId="844">
    <w:name w:val="toc 3"/>
    <w:basedOn w:val="853"/>
    <w:next w:val="853"/>
    <w:uiPriority w:val="39"/>
    <w:unhideWhenUsed/>
    <w:pPr>
      <w:ind w:left="567" w:right="0" w:firstLine="0"/>
      <w:spacing w:after="57"/>
    </w:pPr>
  </w:style>
  <w:style w:type="paragraph" w:styleId="845">
    <w:name w:val="toc 4"/>
    <w:basedOn w:val="853"/>
    <w:next w:val="853"/>
    <w:uiPriority w:val="39"/>
    <w:unhideWhenUsed/>
    <w:pPr>
      <w:ind w:left="850" w:right="0" w:firstLine="0"/>
      <w:spacing w:after="57"/>
    </w:pPr>
  </w:style>
  <w:style w:type="paragraph" w:styleId="846">
    <w:name w:val="toc 5"/>
    <w:basedOn w:val="853"/>
    <w:next w:val="853"/>
    <w:uiPriority w:val="39"/>
    <w:unhideWhenUsed/>
    <w:pPr>
      <w:ind w:left="1134" w:right="0" w:firstLine="0"/>
      <w:spacing w:after="57"/>
    </w:pPr>
  </w:style>
  <w:style w:type="paragraph" w:styleId="847">
    <w:name w:val="toc 6"/>
    <w:basedOn w:val="853"/>
    <w:next w:val="853"/>
    <w:uiPriority w:val="39"/>
    <w:unhideWhenUsed/>
    <w:pPr>
      <w:ind w:left="1417" w:right="0" w:firstLine="0"/>
      <w:spacing w:after="57"/>
    </w:pPr>
  </w:style>
  <w:style w:type="paragraph" w:styleId="848">
    <w:name w:val="toc 7"/>
    <w:basedOn w:val="853"/>
    <w:next w:val="853"/>
    <w:uiPriority w:val="39"/>
    <w:unhideWhenUsed/>
    <w:pPr>
      <w:ind w:left="1701" w:right="0" w:firstLine="0"/>
      <w:spacing w:after="57"/>
    </w:pPr>
  </w:style>
  <w:style w:type="paragraph" w:styleId="849">
    <w:name w:val="toc 8"/>
    <w:basedOn w:val="853"/>
    <w:next w:val="853"/>
    <w:uiPriority w:val="39"/>
    <w:unhideWhenUsed/>
    <w:pPr>
      <w:ind w:left="1984" w:right="0" w:firstLine="0"/>
      <w:spacing w:after="57"/>
    </w:pPr>
  </w:style>
  <w:style w:type="paragraph" w:styleId="850">
    <w:name w:val="toc 9"/>
    <w:basedOn w:val="853"/>
    <w:next w:val="853"/>
    <w:uiPriority w:val="39"/>
    <w:unhideWhenUsed/>
    <w:pPr>
      <w:ind w:left="2268" w:right="0" w:firstLine="0"/>
      <w:spacing w:after="57"/>
    </w:pPr>
  </w:style>
  <w:style w:type="paragraph" w:styleId="851">
    <w:name w:val="TOC Heading"/>
    <w:uiPriority w:val="39"/>
    <w:unhideWhenUsed/>
  </w:style>
  <w:style w:type="paragraph" w:styleId="852">
    <w:name w:val="table of figures"/>
    <w:basedOn w:val="853"/>
    <w:next w:val="853"/>
    <w:uiPriority w:val="99"/>
    <w:unhideWhenUsed/>
    <w:pPr>
      <w:spacing w:after="0" w:afterAutospacing="0"/>
    </w:pPr>
  </w:style>
  <w:style w:type="paragraph" w:styleId="853" w:default="1">
    <w:name w:val="Normal"/>
    <w:qFormat/>
  </w:style>
  <w:style w:type="table" w:styleId="85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5" w:default="1">
    <w:name w:val="No List"/>
    <w:uiPriority w:val="99"/>
    <w:semiHidden/>
    <w:unhideWhenUsed/>
  </w:style>
  <w:style w:type="paragraph" w:styleId="856">
    <w:name w:val="No Spacing"/>
    <w:basedOn w:val="853"/>
    <w:uiPriority w:val="1"/>
    <w:qFormat/>
    <w:pPr>
      <w:spacing w:after="0" w:line="240" w:lineRule="auto"/>
    </w:pPr>
  </w:style>
  <w:style w:type="paragraph" w:styleId="857">
    <w:name w:val="List Paragraph"/>
    <w:basedOn w:val="853"/>
    <w:uiPriority w:val="34"/>
    <w:qFormat/>
    <w:pPr>
      <w:contextualSpacing/>
      <w:ind w:left="720"/>
    </w:pPr>
  </w:style>
  <w:style w:type="character" w:styleId="858" w:default="1">
    <w:name w:val="Default Paragraph Font"/>
    <w:uiPriority w:val="1"/>
    <w:semiHidden/>
    <w:unhideWhenUsed/>
  </w:style>
  <w:style w:type="paragraph" w:styleId="859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60" w:customStyle="1">
    <w:name w:val="Знак сноски"/>
    <w:uiPriority w:val="99"/>
    <w:unhideWhenUsed/>
    <w:rPr>
      <w:vertAlign w:val="superscript"/>
    </w:rPr>
  </w:style>
  <w:style w:type="paragraph" w:styleId="861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2" w:customStyle="1">
    <w:name w:val="Гиперссылка"/>
    <w:uiPriority w:val="99"/>
    <w:unhideWhenUsed/>
    <w:rPr>
      <w:color w:val="0563c1"/>
      <w:u w:val="single"/>
    </w:rPr>
  </w:style>
  <w:style w:type="paragraph" w:styleId="863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yy.smirnova</cp:lastModifiedBy>
  <cp:revision>8</cp:revision>
  <dcterms:modified xsi:type="dcterms:W3CDTF">2026-09-24T08:47:58Z</dcterms:modified>
</cp:coreProperties>
</file>