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27"/>
        <w:outlineLvl w:val="0"/>
      </w:pPr>
      <w:r>
        <w:rPr>
          <w:sz w:val="24"/>
        </w:rPr>
      </w:r>
      <w:r/>
    </w:p>
    <w:p>
      <w:pPr>
        <w:pStyle w:val="829"/>
        <w:jc w:val="center"/>
        <w:outlineLvl w:val="0"/>
      </w:pPr>
      <w:r>
        <w:rPr>
          <w:sz w:val="24"/>
        </w:rPr>
        <w:t xml:space="preserve">МИНИСТЕРСТВО ФИНАНСОВ РОССИЙСКОЙ ФЕДЕРАЦИИ</w:t>
      </w:r>
      <w:r/>
    </w:p>
    <w:p>
      <w:pPr>
        <w:pStyle w:val="829"/>
        <w:jc w:val="center"/>
      </w:pPr>
      <w:r>
        <w:rPr>
          <w:sz w:val="24"/>
        </w:rPr>
      </w:r>
      <w:r/>
    </w:p>
    <w:p>
      <w:pPr>
        <w:pStyle w:val="829"/>
        <w:jc w:val="center"/>
      </w:pPr>
      <w:r>
        <w:rPr>
          <w:sz w:val="24"/>
        </w:rPr>
        <w:t xml:space="preserve">ФЕДЕРАЛЬНОЕ АГЕНТСТВО</w:t>
      </w:r>
      <w:r/>
    </w:p>
    <w:p>
      <w:pPr>
        <w:pStyle w:val="829"/>
        <w:jc w:val="center"/>
      </w:pPr>
      <w:r>
        <w:rPr>
          <w:sz w:val="24"/>
        </w:rPr>
        <w:t xml:space="preserve">ПО УПРАВЛЕНИЮ ГОСУДАРСТВЕННЫМ ИМУЩЕСТВОМ</w:t>
      </w:r>
      <w:r/>
    </w:p>
    <w:p>
      <w:pPr>
        <w:pStyle w:val="829"/>
        <w:jc w:val="center"/>
      </w:pPr>
      <w:r>
        <w:rPr>
          <w:sz w:val="24"/>
        </w:rPr>
      </w:r>
      <w:r/>
    </w:p>
    <w:p>
      <w:pPr>
        <w:pStyle w:val="829"/>
        <w:jc w:val="center"/>
      </w:pPr>
      <w:r>
        <w:rPr>
          <w:sz w:val="24"/>
        </w:rPr>
        <w:t xml:space="preserve">РАСПОРЯЖЕНИЕ</w:t>
      </w:r>
      <w:r/>
    </w:p>
    <w:p>
      <w:pPr>
        <w:pStyle w:val="829"/>
        <w:jc w:val="center"/>
      </w:pPr>
      <w:r>
        <w:rPr>
          <w:sz w:val="24"/>
        </w:rPr>
        <w:t xml:space="preserve">от 15 декабря 2025 г. N 2361-р</w:t>
      </w:r>
      <w:r/>
    </w:p>
    <w:p>
      <w:pPr>
        <w:pStyle w:val="829"/>
        <w:jc w:val="center"/>
      </w:pPr>
      <w:r>
        <w:rPr>
          <w:sz w:val="24"/>
        </w:rPr>
      </w:r>
      <w:r/>
    </w:p>
    <w:p>
      <w:pPr>
        <w:pStyle w:val="829"/>
        <w:jc w:val="center"/>
      </w:pPr>
      <w:r>
        <w:rPr>
          <w:sz w:val="24"/>
        </w:rPr>
        <w:t xml:space="preserve">О ВНЕСЕНИИ ИЗМЕНЕНИЙ</w:t>
      </w:r>
      <w:r/>
    </w:p>
    <w:p>
      <w:pPr>
        <w:pStyle w:val="829"/>
        <w:jc w:val="center"/>
      </w:pPr>
      <w:r>
        <w:rPr>
          <w:sz w:val="24"/>
        </w:rPr>
        <w:t xml:space="preserve">В РАСПОРЯЖЕНИЕ РОСИМУЩЕСТВА ОТ 02.09.2025 N 1767-Р</w:t>
      </w:r>
      <w:r/>
    </w:p>
    <w:p>
      <w:pPr>
        <w:pStyle w:val="829"/>
        <w:jc w:val="center"/>
      </w:pPr>
      <w:r>
        <w:rPr>
          <w:sz w:val="24"/>
        </w:rPr>
        <w:t xml:space="preserve">"ОБ УТВЕРЖДЕНИИ ПЕРЕЧНЯ ФЕДЕРАЛЬНОГО ИМУЩЕСТВА, ПРИВАТИЗАЦИЯ</w:t>
      </w:r>
      <w:r/>
    </w:p>
    <w:p>
      <w:pPr>
        <w:pStyle w:val="829"/>
        <w:jc w:val="center"/>
      </w:pPr>
      <w:r>
        <w:rPr>
          <w:sz w:val="24"/>
        </w:rPr>
        <w:t xml:space="preserve">КОТОРОГО ОСУЩЕСТВЛЯЕТСЯ БЕЗ ВКЛЮЧЕНИЯ В ПРОГНОЗНЫЙ ПЛАН</w:t>
      </w:r>
      <w:r/>
    </w:p>
    <w:p>
      <w:pPr>
        <w:pStyle w:val="829"/>
        <w:jc w:val="center"/>
      </w:pPr>
      <w:r>
        <w:rPr>
          <w:sz w:val="24"/>
        </w:rPr>
        <w:t xml:space="preserve">(ПРОГРАММУ) ПРИВАТИЗАЦИИ ФЕДЕРАЛЬНОГО ИМУЩЕСТВА НА ПЛАНОВЫЙ</w:t>
      </w:r>
      <w:r/>
    </w:p>
    <w:p>
      <w:pPr>
        <w:pStyle w:val="829"/>
        <w:jc w:val="center"/>
      </w:pPr>
      <w:r>
        <w:rPr>
          <w:sz w:val="24"/>
        </w:rPr>
        <w:t xml:space="preserve">ПЕРИОД, НА 2025 - 2027 ГОДЫ, РЫНОЧНАЯ СТОИМОСТЬ КОТОРОГО,</w:t>
      </w:r>
      <w:r/>
    </w:p>
    <w:p>
      <w:pPr>
        <w:pStyle w:val="829"/>
        <w:jc w:val="center"/>
      </w:pPr>
      <w:r>
        <w:rPr>
          <w:sz w:val="24"/>
        </w:rPr>
        <w:t xml:space="preserve">ОПРЕДЕЛЕННАЯ В СООТВЕТСТВИИ С ЗАКОНОДАТЕЛЬСТВОМ</w:t>
      </w:r>
      <w:r/>
    </w:p>
    <w:p>
      <w:pPr>
        <w:pStyle w:val="829"/>
        <w:jc w:val="center"/>
      </w:pPr>
      <w:r>
        <w:rPr>
          <w:sz w:val="24"/>
        </w:rPr>
        <w:t xml:space="preserve">РОССИЙСКОЙ ФЕДЕРАЦИИ ОБ ОЦЕНОЧНОЙ ДЕЯТЕЛЬНОСТИ,</w:t>
      </w:r>
      <w:r/>
    </w:p>
    <w:p>
      <w:pPr>
        <w:pStyle w:val="829"/>
        <w:jc w:val="center"/>
      </w:pPr>
      <w:r>
        <w:rPr>
          <w:sz w:val="24"/>
        </w:rPr>
        <w:t xml:space="preserve">НЕ ПРЕВЫШАЕТ 50 МИЛЛИОНОВ РУБЛЕЙ"</w:t>
      </w:r>
      <w:r/>
    </w:p>
    <w:p>
      <w:pPr>
        <w:pStyle w:val="827"/>
        <w:jc w:val="center"/>
      </w:pPr>
      <w:r>
        <w:rPr>
          <w:sz w:val="24"/>
        </w:rPr>
      </w:r>
      <w:r/>
    </w:p>
    <w:p>
      <w:pPr>
        <w:pStyle w:val="827"/>
        <w:ind w:firstLine="540"/>
        <w:jc w:val="both"/>
      </w:pPr>
      <w:r>
        <w:rPr>
          <w:sz w:val="24"/>
        </w:rPr>
        <w:t xml:space="preserve">В соответствии с </w:t>
      </w:r>
      <w:r>
        <w:rPr>
          <w:sz w:val="24"/>
        </w:rPr>
        <w:t xml:space="preserve">пунктом 4</w:t>
      </w:r>
      <w:r>
        <w:rPr>
          <w:sz w:val="24"/>
        </w:rPr>
        <w:t xml:space="preserve"> Правил формирования и утверждения перечней федерального имущества, приватизация которого осуществляется без включения в прогнозный план (программу) приватизации федера</w:t>
      </w:r>
      <w:r>
        <w:rPr>
          <w:sz w:val="24"/>
        </w:rPr>
        <w:t xml:space="preserve">льного имущества на плановый период, а также внесения изменений в указанные перечни, утвержденных постановлением Правительства Российской Федерации от 22.09.2022 N 1673 "Об утверждении Правил формирования и утверждения перечней федерального имущества, прив</w:t>
      </w:r>
      <w:r>
        <w:rPr>
          <w:sz w:val="24"/>
        </w:rPr>
        <w:t xml:space="preserve">атизация которого осуществляется без включения в прогнозный план (программу) приватизации федерального имущества на плановый период, а также внесения изменений в указанные перечни и о внесении изменений в некоторые акты Правительства Российской Федерации":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1. Утвердить изменения в </w:t>
      </w:r>
      <w:r>
        <w:rPr>
          <w:sz w:val="24"/>
        </w:rPr>
        <w:t xml:space="preserve">распоряжение</w:t>
      </w:r>
      <w:r>
        <w:rPr>
          <w:sz w:val="24"/>
        </w:rPr>
        <w:t xml:space="preserve"> Росимущества от 02.09.2025 N 1767-р согласно </w:t>
      </w:r>
      <w:hyperlink w:tooltip="ИЗМЕНЕНИЯ, КОТОРЫЕ ВНОСЯТСЯ" w:anchor="P35" w:history="1">
        <w:r>
          <w:rPr>
            <w:color w:val="0000ff"/>
            <w:sz w:val="24"/>
          </w:rPr>
          <w:t xml:space="preserve">приложению</w:t>
        </w:r>
      </w:hyperlink>
      <w:r>
        <w:rPr>
          <w:sz w:val="24"/>
        </w:rPr>
        <w:t xml:space="preserve"> к настоящему распоряжению.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2. Настоящее распоряжение вступает в силу с 01.01.2026.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3. Контроль за исполнением настоящего распоряжения возложить на Управление инвестиционных отношений (Бучнев П.В.).</w:t>
      </w:r>
      <w:r/>
    </w:p>
    <w:p>
      <w:pPr>
        <w:pStyle w:val="827"/>
        <w:ind w:firstLine="540"/>
        <w:jc w:val="both"/>
      </w:pPr>
      <w:r>
        <w:rPr>
          <w:sz w:val="24"/>
        </w:rPr>
      </w:r>
      <w:r/>
    </w:p>
    <w:p>
      <w:pPr>
        <w:pStyle w:val="827"/>
        <w:jc w:val="right"/>
      </w:pPr>
      <w:r>
        <w:rPr>
          <w:sz w:val="24"/>
        </w:rPr>
        <w:t xml:space="preserve">Заместитель руководителя</w:t>
      </w:r>
      <w:r/>
    </w:p>
    <w:p>
      <w:pPr>
        <w:pStyle w:val="827"/>
        <w:jc w:val="right"/>
      </w:pPr>
      <w:r>
        <w:rPr>
          <w:sz w:val="24"/>
        </w:rPr>
        <w:t xml:space="preserve">А.Ю.ПАВЛОВ</w:t>
      </w:r>
      <w:r/>
    </w:p>
    <w:p>
      <w:pPr>
        <w:pStyle w:val="827"/>
        <w:jc w:val="right"/>
      </w:pPr>
      <w:r>
        <w:rPr>
          <w:sz w:val="24"/>
        </w:rPr>
      </w:r>
      <w:r/>
    </w:p>
    <w:p>
      <w:pPr>
        <w:pStyle w:val="827"/>
        <w:jc w:val="right"/>
      </w:pPr>
      <w:r>
        <w:rPr>
          <w:sz w:val="24"/>
        </w:rPr>
      </w:r>
      <w:r/>
    </w:p>
    <w:p>
      <w:pPr>
        <w:pStyle w:val="827"/>
        <w:jc w:val="right"/>
      </w:pPr>
      <w:r>
        <w:rPr>
          <w:sz w:val="24"/>
        </w:rPr>
      </w:r>
      <w:r/>
    </w:p>
    <w:p>
      <w:pPr>
        <w:pStyle w:val="827"/>
        <w:jc w:val="right"/>
      </w:pPr>
      <w:r>
        <w:rPr>
          <w:sz w:val="24"/>
        </w:rPr>
      </w:r>
      <w:r/>
    </w:p>
    <w:p>
      <w:pPr>
        <w:jc w:val="right"/>
      </w:pPr>
      <w:r/>
      <w:r/>
    </w:p>
    <w:p>
      <w:pPr>
        <w:pStyle w:val="827"/>
        <w:jc w:val="right"/>
      </w:pPr>
      <w:r>
        <w:rPr>
          <w:sz w:val="24"/>
        </w:rPr>
      </w:r>
      <w:r/>
    </w:p>
    <w:p>
      <w:pPr>
        <w:jc w:val="right"/>
        <w:outlineLvl w:val="0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0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0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0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0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0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0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0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  <w:outlineLvl w:val="0"/>
      </w:pPr>
      <w:r>
        <w:rPr>
          <w:sz w:val="24"/>
          <w:highlight w:val="none"/>
        </w:rPr>
      </w:r>
      <w:r>
        <w:rPr>
          <w:sz w:val="24"/>
          <w:highlight w:val="none"/>
        </w:rPr>
      </w:r>
    </w:p>
    <w:p>
      <w:pPr>
        <w:pStyle w:val="827"/>
        <w:jc w:val="right"/>
        <w:rPr>
          <w:sz w:val="24"/>
          <w:szCs w:val="24"/>
          <w:highlight w:val="none"/>
        </w:rPr>
        <w:outlineLvl w:val="0"/>
      </w:pPr>
      <w:r>
        <w:rPr>
          <w:sz w:val="24"/>
        </w:rPr>
        <w:t xml:space="preserve">Приложение</w:t>
      </w:r>
      <w:r/>
    </w:p>
    <w:p>
      <w:pPr>
        <w:pStyle w:val="827"/>
        <w:jc w:val="right"/>
      </w:pPr>
      <w:r>
        <w:rPr>
          <w:sz w:val="24"/>
        </w:rPr>
        <w:t xml:space="preserve">к распоряжению Росимущества</w:t>
      </w:r>
      <w:r/>
    </w:p>
    <w:p>
      <w:pPr>
        <w:pStyle w:val="827"/>
        <w:jc w:val="right"/>
      </w:pPr>
      <w:r>
        <w:rPr>
          <w:sz w:val="24"/>
        </w:rPr>
        <w:t xml:space="preserve">от 15 декабря 2025 г. N 2361-р</w:t>
      </w:r>
      <w:r/>
    </w:p>
    <w:p>
      <w:pPr>
        <w:pStyle w:val="827"/>
        <w:jc w:val="center"/>
      </w:pPr>
      <w:r>
        <w:rPr>
          <w:sz w:val="24"/>
        </w:rPr>
      </w:r>
      <w:r/>
    </w:p>
    <w:p>
      <w:pPr>
        <w:pStyle w:val="829"/>
        <w:jc w:val="center"/>
      </w:pPr>
      <w:r/>
      <w:bookmarkStart w:id="35" w:name="P35"/>
      <w:r/>
      <w:bookmarkEnd w:id="35"/>
      <w:r>
        <w:rPr>
          <w:sz w:val="24"/>
        </w:rPr>
        <w:t xml:space="preserve">ИЗМЕНЕНИЯ, КОТОРЫЕ ВНОСЯТСЯ</w:t>
      </w:r>
      <w:r/>
    </w:p>
    <w:p>
      <w:pPr>
        <w:pStyle w:val="829"/>
        <w:jc w:val="center"/>
      </w:pPr>
      <w:r>
        <w:rPr>
          <w:sz w:val="24"/>
        </w:rPr>
        <w:t xml:space="preserve">В РАСПОРЯЖЕНИЕ РОСИМУЩЕСТВА ОТ 02.09.2025 N 1767-Р</w:t>
      </w:r>
      <w:r/>
    </w:p>
    <w:p>
      <w:pPr>
        <w:pStyle w:val="829"/>
        <w:jc w:val="center"/>
      </w:pPr>
      <w:r>
        <w:rPr>
          <w:sz w:val="24"/>
        </w:rPr>
        <w:t xml:space="preserve">"ОБ УТВЕРЖДЕНИИ ПЕРЕЧНЯ ФЕДЕРАЛЬНОГО ИМУЩЕСТВА, ПРИВАТИЗАЦИЯ</w:t>
      </w:r>
      <w:r/>
    </w:p>
    <w:p>
      <w:pPr>
        <w:pStyle w:val="829"/>
        <w:jc w:val="center"/>
      </w:pPr>
      <w:r>
        <w:rPr>
          <w:sz w:val="24"/>
        </w:rPr>
        <w:t xml:space="preserve">КОТОРОГО ОСУЩЕСТВЛЯЕТСЯ БЕЗ ВКЛЮЧЕНИЯ В ПРОГНОЗНЫЙ ПЛАН</w:t>
      </w:r>
      <w:r/>
    </w:p>
    <w:p>
      <w:pPr>
        <w:pStyle w:val="829"/>
        <w:jc w:val="center"/>
      </w:pPr>
      <w:r>
        <w:rPr>
          <w:sz w:val="24"/>
        </w:rPr>
        <w:t xml:space="preserve">(ПРОГРАММУ) ПРИВАТИЗАЦИИ ФЕДЕРАЛЬНОГО ИМУЩЕСТВА НА ПЛАНОВЫЙ</w:t>
      </w:r>
      <w:r/>
    </w:p>
    <w:p>
      <w:pPr>
        <w:pStyle w:val="829"/>
        <w:jc w:val="center"/>
      </w:pPr>
      <w:r>
        <w:rPr>
          <w:sz w:val="24"/>
        </w:rPr>
        <w:t xml:space="preserve">ПЕРИОД, НА 2025 - 2027 ГОДЫ, РЫНОЧНАЯ СТОИМОСТЬ КОТОРОГО,</w:t>
      </w:r>
      <w:r/>
    </w:p>
    <w:p>
      <w:pPr>
        <w:pStyle w:val="829"/>
        <w:jc w:val="center"/>
      </w:pPr>
      <w:r>
        <w:rPr>
          <w:sz w:val="24"/>
        </w:rPr>
        <w:t xml:space="preserve">ОПРЕДЕЛЕННАЯ В СООТВЕТСТВИИ С ЗАКОНОДАТЕЛЬСТВОМ</w:t>
      </w:r>
      <w:r/>
    </w:p>
    <w:p>
      <w:pPr>
        <w:pStyle w:val="829"/>
        <w:jc w:val="center"/>
      </w:pPr>
      <w:r>
        <w:rPr>
          <w:sz w:val="24"/>
        </w:rPr>
        <w:t xml:space="preserve">РОССИЙСКОЙ ФЕДЕРАЦИИ ОБ ОЦЕНОЧНОЙ ДЕЯТЕЛЬНОСТИ,</w:t>
      </w:r>
      <w:r/>
    </w:p>
    <w:p>
      <w:pPr>
        <w:pStyle w:val="829"/>
        <w:jc w:val="center"/>
      </w:pPr>
      <w:r>
        <w:rPr>
          <w:sz w:val="24"/>
        </w:rPr>
        <w:t xml:space="preserve">НЕ ПРЕВЫШАЕТ 50 МИЛЛИОНОВ РУБЛЕЙ"</w:t>
      </w:r>
      <w:r/>
    </w:p>
    <w:p>
      <w:pPr>
        <w:pStyle w:val="827"/>
        <w:jc w:val="center"/>
      </w:pPr>
      <w:r>
        <w:rPr>
          <w:sz w:val="24"/>
        </w:rPr>
      </w:r>
      <w:r/>
    </w:p>
    <w:p>
      <w:pPr>
        <w:pStyle w:val="827"/>
        <w:ind w:firstLine="540"/>
        <w:jc w:val="both"/>
      </w:pPr>
      <w:r>
        <w:rPr>
          <w:sz w:val="24"/>
        </w:rPr>
        <w:t xml:space="preserve">1. В </w:t>
      </w:r>
      <w:r>
        <w:rPr>
          <w:sz w:val="24"/>
        </w:rPr>
        <w:t xml:space="preserve">наименовании</w:t>
      </w:r>
      <w:r>
        <w:rPr>
          <w:sz w:val="24"/>
        </w:rPr>
        <w:t xml:space="preserve"> распоряжения и </w:t>
      </w:r>
      <w:r>
        <w:rPr>
          <w:sz w:val="24"/>
        </w:rPr>
        <w:t xml:space="preserve">пункте 1</w:t>
      </w:r>
      <w:r>
        <w:rPr>
          <w:sz w:val="24"/>
        </w:rPr>
        <w:t xml:space="preserve"> распоряжения Росимущества от 02.09.2025 N 1767-р "Об утверждении перечня федерального имущества, приватизация которого осуществляется без включения в прогнозный план (программу) приватизации федерального имущества на плановый период, на 2025 - 2027</w:t>
      </w:r>
      <w:r>
        <w:rPr>
          <w:sz w:val="24"/>
        </w:rPr>
        <w:t xml:space="preserve"> годы, рыночная стоимость которого, определенная в соответствии с законодательством Российской Федерации об оценочной деятельности, не превышает 50 миллионов рублей" (далее - распоряжение) слова "на 2025 - 2027 годы" заменить словами "на 2026 - 2028 годы".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2. В перечне федерального имущества, приватизация которого осуществляется без включения в прогнозный план (программу) привати</w:t>
      </w:r>
      <w:r>
        <w:rPr>
          <w:sz w:val="24"/>
        </w:rPr>
        <w:t xml:space="preserve">зации федерального имущества на плановый период, на 2025 - 2027 годы, рыночная стоимость которого, определенная в соответствии с законодательством Российской Федерации об оценочной деятельности, не превышает 50 миллионов рублей, утвержденном распоряжением: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а) в </w:t>
      </w:r>
      <w:r>
        <w:rPr>
          <w:sz w:val="24"/>
        </w:rPr>
        <w:t xml:space="preserve">наименовании</w:t>
      </w:r>
      <w:r>
        <w:rPr>
          <w:sz w:val="24"/>
        </w:rPr>
        <w:t xml:space="preserve"> слова "на 2025 - 2027 годы" заменить словами "на 2026 - 2028 годы";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б) в </w:t>
      </w:r>
      <w:r>
        <w:rPr>
          <w:sz w:val="24"/>
        </w:rPr>
        <w:t xml:space="preserve">графе</w:t>
      </w:r>
      <w:r>
        <w:rPr>
          <w:sz w:val="24"/>
        </w:rPr>
        <w:t xml:space="preserve"> "Предполагаемые сроки приватизации объекта федерального имущества" цифры "2025 - 2027" заменить цифрами "2026 - 2028";</w:t>
      </w:r>
      <w:r/>
    </w:p>
    <w:p>
      <w:pPr>
        <w:pStyle w:val="827"/>
        <w:ind w:firstLine="540"/>
        <w:jc w:val="both"/>
        <w:spacing w:before="240"/>
      </w:pPr>
      <w:r>
        <w:rPr>
          <w:sz w:val="24"/>
        </w:rPr>
        <w:t xml:space="preserve">в) </w:t>
      </w:r>
      <w:r>
        <w:rPr>
          <w:sz w:val="24"/>
        </w:rPr>
        <w:t xml:space="preserve">пункты 11</w:t>
      </w:r>
      <w:r>
        <w:rPr>
          <w:sz w:val="24"/>
        </w:rPr>
        <w:t xml:space="preserve">, </w:t>
      </w:r>
      <w:r>
        <w:rPr>
          <w:sz w:val="24"/>
        </w:rPr>
        <w:t xml:space="preserve">92</w:t>
      </w:r>
      <w:r>
        <w:rPr>
          <w:sz w:val="24"/>
        </w:rPr>
        <w:t xml:space="preserve">, </w:t>
      </w:r>
      <w:r>
        <w:rPr>
          <w:sz w:val="24"/>
        </w:rPr>
        <w:t xml:space="preserve">103</w:t>
      </w:r>
      <w:r>
        <w:rPr>
          <w:sz w:val="24"/>
        </w:rPr>
        <w:t xml:space="preserve">, </w:t>
      </w:r>
      <w:r>
        <w:rPr>
          <w:sz w:val="24"/>
        </w:rPr>
        <w:t xml:space="preserve">104</w:t>
      </w:r>
      <w:r>
        <w:rPr>
          <w:sz w:val="24"/>
        </w:rPr>
        <w:t xml:space="preserve">, </w:t>
      </w:r>
      <w:r>
        <w:rPr>
          <w:sz w:val="24"/>
        </w:rPr>
        <w:t xml:space="preserve">117</w:t>
      </w:r>
      <w:r>
        <w:rPr>
          <w:sz w:val="24"/>
        </w:rPr>
        <w:t xml:space="preserve">, </w:t>
      </w:r>
      <w:r>
        <w:rPr>
          <w:sz w:val="24"/>
        </w:rPr>
        <w:t xml:space="preserve">124</w:t>
      </w:r>
      <w:r>
        <w:rPr>
          <w:sz w:val="24"/>
        </w:rPr>
        <w:t xml:space="preserve">, </w:t>
      </w:r>
      <w:r>
        <w:rPr>
          <w:sz w:val="24"/>
        </w:rPr>
        <w:t xml:space="preserve">136</w:t>
      </w:r>
      <w:r>
        <w:rPr>
          <w:sz w:val="24"/>
        </w:rPr>
        <w:t xml:space="preserve">, </w:t>
      </w:r>
      <w:r>
        <w:rPr>
          <w:sz w:val="24"/>
        </w:rPr>
        <w:t xml:space="preserve">163</w:t>
      </w:r>
      <w:r>
        <w:rPr>
          <w:sz w:val="24"/>
        </w:rPr>
        <w:t xml:space="preserve">, </w:t>
      </w:r>
      <w:r>
        <w:rPr>
          <w:sz w:val="24"/>
        </w:rPr>
        <w:t xml:space="preserve">173</w:t>
      </w:r>
      <w:r>
        <w:rPr>
          <w:sz w:val="24"/>
        </w:rPr>
        <w:t xml:space="preserve">, </w:t>
      </w:r>
      <w:r>
        <w:rPr>
          <w:sz w:val="24"/>
        </w:rPr>
        <w:t xml:space="preserve">174</w:t>
      </w:r>
      <w:r>
        <w:rPr>
          <w:sz w:val="24"/>
        </w:rPr>
        <w:t xml:space="preserve">, </w:t>
      </w:r>
      <w:r>
        <w:rPr>
          <w:sz w:val="24"/>
        </w:rPr>
        <w:t xml:space="preserve">176</w:t>
      </w:r>
      <w:r>
        <w:rPr>
          <w:sz w:val="24"/>
        </w:rPr>
        <w:t xml:space="preserve">, </w:t>
      </w:r>
      <w:r>
        <w:rPr>
          <w:sz w:val="24"/>
        </w:rPr>
        <w:t xml:space="preserve">185</w:t>
      </w:r>
      <w:r>
        <w:rPr>
          <w:sz w:val="24"/>
        </w:rPr>
        <w:t xml:space="preserve">, </w:t>
      </w:r>
      <w:r>
        <w:rPr>
          <w:sz w:val="24"/>
        </w:rPr>
        <w:t xml:space="preserve">188</w:t>
      </w:r>
      <w:r>
        <w:rPr>
          <w:sz w:val="24"/>
        </w:rPr>
        <w:t xml:space="preserve">, </w:t>
      </w:r>
      <w:r>
        <w:rPr>
          <w:sz w:val="24"/>
        </w:rPr>
        <w:t xml:space="preserve">191</w:t>
      </w:r>
      <w:r>
        <w:rPr>
          <w:sz w:val="24"/>
        </w:rPr>
        <w:t xml:space="preserve">, </w:t>
      </w:r>
      <w:r>
        <w:rPr>
          <w:sz w:val="24"/>
        </w:rPr>
        <w:t xml:space="preserve">196</w:t>
      </w:r>
      <w:r>
        <w:rPr>
          <w:sz w:val="24"/>
        </w:rPr>
        <w:t xml:space="preserve">, </w:t>
      </w:r>
      <w:r>
        <w:rPr>
          <w:sz w:val="24"/>
        </w:rPr>
        <w:t xml:space="preserve">198</w:t>
      </w:r>
      <w:r>
        <w:rPr>
          <w:sz w:val="24"/>
        </w:rPr>
        <w:t xml:space="preserve">, </w:t>
      </w:r>
      <w:r>
        <w:rPr>
          <w:sz w:val="24"/>
        </w:rPr>
        <w:t xml:space="preserve">211</w:t>
      </w:r>
      <w:r>
        <w:rPr>
          <w:sz w:val="24"/>
        </w:rPr>
        <w:t xml:space="preserve">, </w:t>
      </w:r>
      <w:r>
        <w:rPr>
          <w:sz w:val="24"/>
        </w:rPr>
        <w:t xml:space="preserve">233</w:t>
      </w:r>
      <w:r>
        <w:rPr>
          <w:sz w:val="24"/>
        </w:rPr>
        <w:t xml:space="preserve">, </w:t>
      </w:r>
      <w:r>
        <w:rPr>
          <w:sz w:val="24"/>
        </w:rPr>
        <w:t xml:space="preserve">294</w:t>
      </w:r>
      <w:r>
        <w:rPr>
          <w:sz w:val="24"/>
        </w:rPr>
        <w:t xml:space="preserve">, </w:t>
      </w:r>
      <w:r>
        <w:rPr>
          <w:sz w:val="24"/>
        </w:rPr>
        <w:t xml:space="preserve">295</w:t>
      </w:r>
      <w:r>
        <w:rPr>
          <w:sz w:val="24"/>
        </w:rPr>
        <w:t xml:space="preserve">, </w:t>
      </w:r>
      <w:r>
        <w:rPr>
          <w:sz w:val="24"/>
        </w:rPr>
        <w:t xml:space="preserve">309</w:t>
      </w:r>
      <w:r>
        <w:rPr>
          <w:sz w:val="24"/>
        </w:rPr>
        <w:t xml:space="preserve">, </w:t>
      </w:r>
      <w:r>
        <w:rPr>
          <w:sz w:val="24"/>
        </w:rPr>
        <w:t xml:space="preserve">315</w:t>
      </w:r>
      <w:r>
        <w:rPr>
          <w:sz w:val="24"/>
        </w:rPr>
        <w:t xml:space="preserve">, </w:t>
      </w:r>
      <w:r>
        <w:rPr>
          <w:sz w:val="24"/>
        </w:rPr>
        <w:t xml:space="preserve">317</w:t>
      </w:r>
      <w:r>
        <w:rPr>
          <w:sz w:val="24"/>
        </w:rPr>
        <w:t xml:space="preserve"> исключить.</w:t>
      </w:r>
      <w:r/>
    </w:p>
    <w:p>
      <w:pPr>
        <w:pStyle w:val="827"/>
        <w:ind w:firstLine="540"/>
        <w:jc w:val="both"/>
      </w:pPr>
      <w:r>
        <w:rPr>
          <w:sz w:val="24"/>
        </w:rPr>
      </w:r>
      <w:r/>
    </w:p>
    <w:p>
      <w:pPr>
        <w:pStyle w:val="827"/>
        <w:ind w:firstLine="540"/>
        <w:jc w:val="both"/>
      </w:pPr>
      <w:r>
        <w:rPr>
          <w:sz w:val="24"/>
        </w:rPr>
      </w:r>
      <w:r/>
    </w:p>
    <w:p>
      <w:pPr>
        <w:pStyle w:val="827"/>
        <w:jc w:val="both"/>
        <w:spacing w:before="100" w:after="100"/>
        <w:rPr>
          <w:sz w:val="2"/>
          <w:szCs w:val="2"/>
        </w:rPr>
        <w:pBdr>
          <w:bottom w:val="single" w:color="000000" w:sz="6" w:space="0"/>
        </w:pBdr>
      </w:pPr>
      <w:r>
        <w:rPr>
          <w:sz w:val="2"/>
          <w:szCs w:val="2"/>
        </w:rPr>
      </w:r>
      <w:r>
        <w:rPr>
          <w:sz w:val="2"/>
          <w:szCs w:val="2"/>
        </w:rPr>
      </w:r>
    </w:p>
    <w:sectPr>
      <w:headerReference w:type="default" r:id="rId8"/>
      <w:headerReference w:type="first" r:id="rId9"/>
      <w:footerReference w:type="default" r:id="rId10"/>
      <w:footerReference w:type="first" r:id="rId11"/>
      <w:footnotePr/>
      <w:endnotePr/>
      <w:type w:val="nextPage"/>
      <w:pgSz w:w="11906" w:h="16838" w:orient="portrait"/>
      <w:pgMar w:top="448" w:right="566" w:bottom="1440" w:left="1133" w:header="0" w:footer="0" w:gutter="0"/>
      <w:cols w:num="1" w:sep="0" w:space="1701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Courier New">
    <w:panose1 w:val="020703090202050204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sz w:val="2"/>
        <w:szCs w:val="2"/>
      </w:rPr>
      <w:t xml:space="preserve">1</w:t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>
      <w:rPr>
        <w:sz w:val="2"/>
        <w:szCs w:val="2"/>
      </w:rPr>
      <w:t xml:space="preserve">1</w: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0">
    <w:name w:val="Normal"/>
    <w:qFormat/>
  </w:style>
  <w:style w:type="paragraph" w:styleId="13">
    <w:name w:val="Heading 1"/>
    <w:basedOn w:val="10"/>
    <w:next w:val="10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10"/>
    <w:next w:val="10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10"/>
    <w:next w:val="10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10"/>
    <w:next w:val="10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10"/>
    <w:next w:val="10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10"/>
    <w:next w:val="10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10"/>
    <w:next w:val="10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10"/>
    <w:next w:val="10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10"/>
    <w:next w:val="10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10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10"/>
    <w:next w:val="10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10"/>
    <w:next w:val="10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10"/>
    <w:next w:val="10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10"/>
    <w:next w:val="10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10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10"/>
    <w:link w:val="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10"/>
    <w:next w:val="10"/>
    <w:link w:val="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11"/>
    <w:link w:val="46"/>
    <w:uiPriority w:val="35"/>
    <w:rPr>
      <w:b/>
      <w:bCs/>
      <w:color w:val="4f81bd" w:themeColor="accent1"/>
      <w:sz w:val="18"/>
      <w:szCs w:val="18"/>
    </w:rPr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10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10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10"/>
    <w:next w:val="10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10"/>
    <w:next w:val="10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10"/>
    <w:next w:val="10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10"/>
    <w:next w:val="10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10"/>
    <w:next w:val="10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10"/>
    <w:next w:val="10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10"/>
    <w:next w:val="10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10"/>
    <w:next w:val="10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10"/>
    <w:next w:val="10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10"/>
    <w:next w:val="10"/>
    <w:uiPriority w:val="99"/>
    <w:unhideWhenUsed/>
    <w:pPr>
      <w:spacing w:after="0" w:afterAutospacing="0"/>
    </w:pPr>
  </w:style>
  <w:style w:type="paragraph" w:styleId="827" w:default="1" w:customStyle="1">
    <w:name w:val="ConsPlusNormal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28" w:customStyle="1">
    <w:name w:val="ConsPlusNonformat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829" w:customStyle="1">
    <w:name w:val="ConsPlusTitle"/>
    <w:pPr>
      <w:widowControl w:val="off"/>
    </w:pPr>
    <w:rPr>
      <w:rFonts w:ascii="Arial" w:hAnsi="Arial" w:cs="Arial"/>
      <w:b/>
      <w:sz w:val="24"/>
      <w:lang w:val="ru-RU" w:eastAsia="ru-RU" w:bidi="ar-SA"/>
    </w:rPr>
  </w:style>
  <w:style w:type="paragraph" w:styleId="830" w:customStyle="1">
    <w:name w:val="ConsPlusCell"/>
    <w:pPr>
      <w:widowControl w:val="off"/>
    </w:pPr>
    <w:rPr>
      <w:rFonts w:ascii="Courier New" w:hAnsi="Courier New" w:cs="Courier New"/>
      <w:sz w:val="20"/>
      <w:lang w:val="ru-RU" w:eastAsia="ru-RU" w:bidi="ar-SA"/>
    </w:rPr>
  </w:style>
  <w:style w:type="paragraph" w:styleId="831" w:customStyle="1">
    <w:name w:val="ConsPlusDocList"/>
    <w:pPr>
      <w:widowControl w:val="off"/>
    </w:pPr>
    <w:rPr>
      <w:rFonts w:ascii="Tahoma" w:hAnsi="Tahoma" w:cs="Tahoma"/>
      <w:sz w:val="18"/>
      <w:lang w:val="ru-RU" w:eastAsia="ru-RU" w:bidi="ar-SA"/>
    </w:rPr>
  </w:style>
  <w:style w:type="paragraph" w:styleId="832" w:customStyle="1">
    <w:name w:val="ConsPlusTitlePage"/>
    <w:pPr>
      <w:widowControl w:val="off"/>
    </w:pPr>
    <w:rPr>
      <w:rFonts w:ascii="Tahoma" w:hAnsi="Tahoma" w:cs="Tahoma"/>
      <w:sz w:val="20"/>
      <w:lang w:val="ru-RU" w:eastAsia="ru-RU" w:bidi="ar-SA"/>
    </w:rPr>
  </w:style>
  <w:style w:type="paragraph" w:styleId="833" w:customStyle="1">
    <w:name w:val="ConsPlusJurTerm"/>
    <w:pPr>
      <w:widowControl w:val="off"/>
    </w:pPr>
    <w:rPr>
      <w:rFonts w:ascii="Tahoma" w:hAnsi="Tahoma" w:cs="Tahoma"/>
      <w:sz w:val="26"/>
      <w:lang w:val="ru-RU" w:eastAsia="ru-RU" w:bidi="ar-SA"/>
    </w:rPr>
  </w:style>
  <w:style w:type="paragraph" w:styleId="834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paragraph" w:styleId="835" w:customStyle="1">
    <w:name w:val="ConsPlusTextList"/>
    <w:pPr>
      <w:widowControl w:val="off"/>
    </w:pPr>
    <w:rPr>
      <w:rFonts w:ascii="Times New Roman" w:hAnsi="Times New Roman" w:cs="Times New Roman"/>
      <w:sz w:val="24"/>
      <w:lang w:val="ru-RU" w:eastAsia="ru-RU" w:bidi="ar-SA"/>
    </w:rPr>
  </w:style>
  <w:style w:type="character" w:styleId="1170" w:default="1">
    <w:name w:val="Default Paragraph Font"/>
    <w:uiPriority w:val="1"/>
    <w:semiHidden/>
    <w:unhideWhenUsed/>
  </w:style>
  <w:style w:type="numbering" w:styleId="1171" w:default="1">
    <w:name w:val="No List"/>
    <w:uiPriority w:val="99"/>
    <w:semiHidden/>
    <w:unhideWhenUsed/>
  </w:style>
  <w:style w:type="table" w:styleId="1172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footer" Target="footer1.xml" /><Relationship Id="rId11" Type="http://schemas.openxmlformats.org/officeDocument/2006/relationships/footer" Target="footer2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Росимущества от 15.12.2025 N 2361-р
"О внесении изменений в распоряжение Росимущества от 02.09.2025 N 1767-р "Об утверждении перечня федерального имущества, приватизация которого осуществляется без включения в прогнозный план (программу) приватизации федерального имущества на плановый период, на 2025 - 2027 годы, рыночная стоимость которого, определенная в соответствии с законодательством Российской Федерации об оценочной деятельности, не превышает 50 миллионов рублей"</dc:title>
  <cp:lastModifiedBy>evgeniya.sokolova</cp:lastModifiedBy>
  <cp:revision>1</cp:revision>
  <dcterms:created xsi:type="dcterms:W3CDTF">2026-09-22T12:45:38Z</dcterms:created>
  <dcterms:modified xsi:type="dcterms:W3CDTF">2026-09-22T12:47:04Z</dcterms:modified>
</cp:coreProperties>
</file>